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10"/>
        <w:tblW w:w="139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2088"/>
        <w:gridCol w:w="7352"/>
        <w:gridCol w:w="2643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733" w:type="dxa"/>
            <w:tcBorders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序列</w:t>
            </w:r>
          </w:p>
        </w:tc>
        <w:tc>
          <w:tcPr>
            <w:tcW w:w="2088" w:type="dxa"/>
            <w:tcBorders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106" w:rightChars="-50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国家标准编号</w:t>
            </w:r>
          </w:p>
        </w:tc>
        <w:tc>
          <w:tcPr>
            <w:tcW w:w="7352" w:type="dxa"/>
            <w:tcBorders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国  家  标  准  名  称</w:t>
            </w:r>
          </w:p>
        </w:tc>
        <w:tc>
          <w:tcPr>
            <w:tcW w:w="2643" w:type="dxa"/>
            <w:tcBorders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代替标准号</w:t>
            </w:r>
          </w:p>
        </w:tc>
        <w:tc>
          <w:tcPr>
            <w:tcW w:w="1134" w:type="dxa"/>
            <w:tcBorders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实施日期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op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88" w:type="dxa"/>
            <w:tcBorders>
              <w:top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920-2023</w:t>
            </w:r>
          </w:p>
        </w:tc>
        <w:tc>
          <w:tcPr>
            <w:tcW w:w="7352" w:type="dxa"/>
            <w:tcBorders>
              <w:top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公路路面等级与面层类型代码</w:t>
            </w:r>
          </w:p>
        </w:tc>
        <w:tc>
          <w:tcPr>
            <w:tcW w:w="2643" w:type="dxa"/>
            <w:tcBorders>
              <w:top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920-2002</w:t>
            </w:r>
          </w:p>
        </w:tc>
        <w:tc>
          <w:tcPr>
            <w:tcW w:w="1134" w:type="dxa"/>
            <w:tcBorders>
              <w:top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23188-2023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松茸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23188-2008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22346-2023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栗产品质量等级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22346-2008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29361-2023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法庭科学 电子数据文件一致性检验规程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29361-2012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29360-2023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法庭科学 电子数据恢复检验规程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29360-2012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29362-2023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法庭科学 电子数据搜索检验规程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29362-2012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42303-2023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表面活性剂  洗织物用洗涤剂  性能比较试验导则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42312-2023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电化学储能电站生产安全应急预案编制导则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42314-2023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电化学储能电站危险源辨识技术导则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42313-2023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电力储能系统术语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42316-2023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分布式储能集中监控系统技术规范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42315-2023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电化学储能电站检修规程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42317-2023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电化学储能电站应急演练规程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42319-2023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船舶和海上技术 航行数据记录仪（VDR）操作和安装指南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42322-2023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能源互联网系统 主动配电网的互联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42323-2023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铅酸蓄电池用水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1094.101-2023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电力变压器 第101部分：声级测定 应用导则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1094.101-2008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15166.3-2023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高压交流熔断器  第3部分：喷射熔断器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15166.3-2008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15613-2023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水轮机、蓄能泵和水泵水轮机模型验收试验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10969-2008,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15613.1-2008,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15613.2-2008,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15613.3-2008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27894.3-2023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天然气 用气相色谱法测定组成和计算相关不确定度 第3部分：精密度和偏差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27894.3-2011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42362-2023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矿区地下水含水层破坏危害程度评价规范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33521.31-2023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机械振动  轨道系统产生的地面诱导结构噪声和地传振动  第31部分：建筑物内人体暴露评价的现场测量指南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41734.4-2023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动物射频识别  第4部分：符合GB/T 20563和GB/T 22334的射频识别读写器性能评估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42409-2023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 电子价签系统 总体要求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42407-2023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门窗智能控制系统通用技术要求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42411.1-2023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学习、教育和培训 在线课程体系 第1部分：框架与基本要求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42410-2023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健康信息学 中医药信息标准特征描述框架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10592-2023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高低温试验箱技术条件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10592-2008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16656.14-2023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工业自动化系统与集成  产品数据表达与交换 第14部分：描述方法：EXPRESS-X语言参考手册 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42412-2023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基于工业云平台的个性化定制技术要求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20274.1-2023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信息系统安全保障评估框架 第1部分：简介和一般模型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20274.1-2006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33134-2023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公共域名服务系统安全要求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33134-2016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21053-2023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公钥基础设施 PKI系统安全技术要求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21053-2007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17902.1-2023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安全技术 带附录的数字签名 第1部分：概述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17902.1-1999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32922-2023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IPSec VPN安全接入基本要求与实施指南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32922-2016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21054-2023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公钥基础设施 PKI系统安全测评方法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21054-2007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42399.3-2023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无损检测仪器 相控阵超声设备的性能与检验 第3部分：组合系统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15843.3-2023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安全技术 实体鉴别 第3部分：采用数字签名技术的机制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15843.3-2016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42441-2023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仿生学  仿生材料、结构和构件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37036.5-2023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移动设备生物特征识别 第5部分：声纹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28847.6-2023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建筑自动化和控制系统 第6部分：数据通信协议一致性测试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42443-2023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 自动识别与数据采集技术 大容量自动数据采集(ADC)媒体语法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42442.1-2023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智慧城市 智慧停车 第1部分：总体要求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37036.7-2023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移动设备生物特征识别 第7部分：多模态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42444-2023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仿生学  术语、概念与方法论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42399.1-2023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无损检测仪器 相控阵超声设备的性能与检验 第1部分：仪器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42445-2023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工业自动化和控制系统安全    IACS环境下的补丁管理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42452-2023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系统与软件工程 功能规模测量 COSMIC方法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42456-2023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工业自动化和控制系统信息安全   IACS组件的安全技术要求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33767.14-2023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生物特征样本质量 第14部分：DNA数据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42455.1-2023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智慧城市 建筑及居住区 第1部分：智慧社区信息系统技术要求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42454-2023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信息技术服务 数字化营销服务 移动营销技术规范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42457-2023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工业自动化和控制系统信息安全  产品安全开发生命周期要求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42458-2023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智慧城市 突发公共卫生事件数据有效利用评估指南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42460-2023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个人信息去标识化效果评估指南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42459-2023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系统间远程通信和信息交换 局域网和城域网 特定要求 站点和媒体访问控制连通性发现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42461-2023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网络安全服务成本度量指南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24421.5-2023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服务业组织标准化工作指南 第5部分：改进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GB/Z 42510-2023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饭店业信用等级评价规范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42351.1-2023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颗粒标准样品的制备 第1部分：基于单分散球形颗粒尖桩栅栏分布的多分散标准样品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5291.1-2023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电火花成形机床  精度检验  第1部分：单立柱机床（十字工作台型和固定工作台型）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5291.1-2001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8464-2023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铁制、铜制和不锈钢制螺纹连接阀门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8464-2008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7233.1-2023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铸钢件 超声检测 第1部分：一般用途铸钢件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7233.1-2009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21015-2023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稻谷干燥技术规范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21015-2007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41734.7-2023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动物射频识别  第7部分：GB/T 22334识别系统间的同步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41734.6-2023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动物射频识别  第6部分：动物识别信息格式(视觉显示/数据传输)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15110.2-2023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感光材料、箔纸及纸张的套准系统 第2部分：制版的销式定位系统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42157.1-2023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越野叉车  非集成式人员工作平台  第1部分：设计、安全要求及验证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42428-2023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交通运输卫星导航增强服务性能指标及监测技术规范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42484-2023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霍山石斛人工栽培技术规程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42482-2023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生鲜银耳包装、贮存与冷链运输技术规范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42413-2023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玻璃仪器 玻璃容器耐冷冻性试验方法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42427-2023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交通运输卫星导航增强定位模块测试技术规范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26254-2023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家用和类似用途保健按摩垫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26254-2010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34436-2023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玩具材料中甲酰胺的测定 高效液相色谱-质谱法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34436-2017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42414-2023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玻璃黏度测定  旋转黏度计法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28209-2023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硼硅酸盐玻璃化学分析方法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28209-2011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13530-2023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乙氧基化烷基硫酸钠试验方法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13530-2008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29780-2023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家用和类似用途热泵热水器用全封闭型电动机-压缩机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29780-2013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4214.3-2023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家用和类似用途电器噪声测试方法  洗碗机的特殊要求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4214.3-2008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42415-2023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表面活性剂  静态表面张力的测定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4214.5-2023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家用和类似用途电器噪声测试方法  电动剃须刀、电理发剪及修发器的特殊要求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4214.5-2008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42470-2023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纳米技术 基于斑马鱼胚胎的纳米材料毒性评价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42468.3-2023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纸质档案抢救与修复规范  第3部分：修复质量要求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GB/Z 42468.4-2023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纸质档案抢救与修复规范  第4部分：修复操作指南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42468.2-2023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纸质档案抢救与修复规范  第2部分：档案保存状况的调查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42473-2023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声学 噪声烦恼度的评价和预测方法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42468.1-2023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纸质档案抢救与修复规范  第1部分：破损等级的划分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42469-2023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纳米技术 抗菌银纳米颗粒 特性及测量方法通则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42471-2023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纳米技术 柔性纳米储能器件弯曲测试方法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42472-2023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临界电流测量 银包套Bi-2223超导线室温双弯曲后的保留临界电流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24421.3-2023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服务业组织标准化工作指南 第3部分：标准编制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24421.3-2009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24421.4-2023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服务业组织标准化工作指南 第4部分：标准实施及评价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24421.4-2009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42477-2023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光伏电站气象观测及资料审核、订正技术规范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42401-2023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激光熔覆修复 缺陷质量分级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42399.2-2023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无损检测仪器 相控阵超声设备的性能与检验 第2部分：探头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42400-2023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激光熔覆修复金属零部件硬度试验方法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42402-2023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系统间远程通信和信息交换 6TiSCH网络协议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42403-2023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激光器和激光相关设备  激光光谱特性测量方法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42404-2023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系统间远程通信和信息交换 局域网和城域网 桥接局域网用时间敏感应用的定时和同步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42405.1-2023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智能制造应用互联 第1部分：集成技术要求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42408-2023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工业云服务 资源配置要求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42406-2023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工业云服务 知识库接入与管理要求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42364-2023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传染性无乳症诊断技术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42357-2023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非水溶性染料 纯度的测定 液相色谱法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42359-2023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湿及冰雪路面试验用轿车轮胎室内磨削方法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25819-2023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染料 液体反应黑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25819-2010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21109.2-2023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过程工业领域安全仪表系统的功能安全 第2部分：GB/T 21109.1—2022的应用指南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21109.2-2007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30268.3-2023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生物特征识别应用程序接口（BioAPI）的符合性测试 第3部分：BioAPI框架的测试断言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42125.14-2023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测量、控制和实验室用电气设备的安全要求   第14部分：实验室用分析和其他目的自动和半自动设备的特殊要求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 4793.9-2013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42381.8-2023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数据质量 第8部分：信息和数据质量：概念和测量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16849-2023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光放大器总规范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16849-2008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42384-2023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健康信息学 数据交换标准 HL7临床文档架构（版本2）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42383.1-2023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 网络协同设计 第1部分：通用要求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42383.4-2023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 网络协同设计 第4部分：面向全生命周期设计要求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42383.2-2023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 网络协同设计 第2部分：软件接口和数据交互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42383.5-2023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 网络协同设计 第5部分：多学科协同仿真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42385-2023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蜡烛 防火安全规范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42387-2023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玻璃量器 质量分级技术要求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42386-2023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蜡烛术语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42389.1-2023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家用和类似用途中央电暖系统 第1部分：通用要求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22769-2023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浴室电加热器具(浴霸)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22769-2008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42388-2023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消费品安全监测指南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15544.1-2023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三相交流系统短路电流计算 第1部分：电流计算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15544.1-2013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17626.12-2023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电磁兼容  试验和测量技术  第12部分：振铃波抗扰度试验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17626.12-2013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18494.3-2023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变流变压器  第3部分：应用导则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18494.3-2012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42390-2023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快递包装分类与代码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42392-2023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洁净手术部通用技术要求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16608.1-2023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有质量评定的电信用基础机电继电器 第1部分：总规范与空白详细规范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16608.1-2003,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16608.50-2012,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16608.51-2012,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16608.52-2012,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16608.53-2012,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16608.54-2012,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16608.55-2012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19973.1-2023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医疗保健产品灭菌 微生物学方法 第1部分:产品上微生物总数的确定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19973.1-2015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42424-2023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染发产品中5-氨基-6-氯-邻甲酚等11种准用染发剂的测定  液相色谱质谱法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42423-2023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化妆品中二氯苯甲醇和氯苯甘醚的测定  高效液相色谱法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23527.1-2023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酶制剂质量要求 第1部分：蛋白酶制剂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23527-2009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42425-2023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化妆品中功效组分辛酰水杨酸、苯乙基间苯二酚、阿魏酸的测定  高效液相色谱法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5750.8-2023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 第8部分：有机物指标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GB/T 5750.8-2006,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32470-2016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10343-2023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食用酒精质量要求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 10343-2008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26513-2023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润唇膏（啫喱、霜）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26513-2011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5750.2-2023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 第2部分：水样的采集与保存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5750.2-2006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42419-2023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地表碳核查技术规程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42421-2023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数字科普资源质量要求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42418-2023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基层政务公开工作指南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42420-2023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智慧城市基础设施 突发公共卫生事件居住社区基础设施数据获取和报送规范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42426-2023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化学品  蒸气压试验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16620-2023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林木育种及种子管理术语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16620-1996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30146-2023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安全与韧性 业务连续性管理体系 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30146-2013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18959-2023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木材保管规程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18959-2003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29893-2023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轻型木结构锯材用原木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29893-2013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20239-2023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体育馆用木质地板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20239-2015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16751.3-2023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中医临床诊疗术语  第3部分：治法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16751.3-1997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5750.10-2023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 第10部分：消毒副产物指标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5750.10-2006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5750.9-2023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 第9部分：农药指标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5750.9-2006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5750.13-2023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 第13部分：放射性指标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5750.13-2006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9239.13-2023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机械振动 转子平衡 第13部分：大中型转子现场平衡的准则和安全防护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28785-2012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5859-2023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滚动轴承  推力调心滚子轴承  外形尺寸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5859-2008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13277.8-2023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压缩空气 第8部分：固体颗粒质量浓度测量方法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41732.2-2023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动物射频识别  增强型射频识别标签 第2部分：代码和指令结构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26958.60-2023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产品几何技术规范（GPS） 滤波 第60部分：线性区域滤波器 基本概念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26471-2023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塔式起重机  安装、拆卸与爬升规则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26471-2011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42157.2-2023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越野叉车  非集成式人员工作平台  第2部分：对用户的要求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42158-2023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微机电系统（MEMS）技术 微沟槽和棱锥式针结构的描述和测量方法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3157-2023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中国荷斯坦牛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3157-2008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42485-2023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土壤硝态氮、亚硝态氮和铵态氮的测定 氯化钾溶液浸提手工分析法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42486-2023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毛型纤维长度测量法 随机须丛影像法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42489-2023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决策单元-多点增量采样法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17491-2023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液压传动 泵、马达 稳态性能的试验方法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17491-2011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28053-2023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铝合金内胆碳纤维全缠绕气瓶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28053-2011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42156-2023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铸造砂型3D打印设备 通用技术规范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37162.4-2023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液压传动  液体颗粒污染度的监测  第4部分：遮光技术的应用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42155-2023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液压传动  旋装滤检验方法  承压壳体额定疲劳寿命和额定静态爆破压力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42487-2023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土壤硝态氮、亚硝态氮和铵态氮的测定 氯化钾溶液浸提流动分析法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42488-2023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土壤中无机态氮15N丰度的测定 稳定同位素比值质谱法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42490-2023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土壤与生物样品中有机碳含量与碳同位素比值、全氮含量与氮同位素比值的测定 稳定同位素比值质谱法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42478-2023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农产品生产档案记载规范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42491-2023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饲料中淀粉总含量的测定  酶法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42492-2023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高山美利奴羊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42481-2023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小微湿地保护与管理规范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42479-2023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农产品市场信息发布规范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42480-2023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农民专业合作社 生产管理系统建设指南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42483-2023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木材导热系数的测定  热流法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42381.61-2023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数据质量 第61部分：数据质量管理：过程参考模型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42382.1-2023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神经网络表示与模型压缩 第1部分：卷积神经网络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8937-2023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食用动物油脂 猪油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8937-2006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13797-2023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医用X射线管通用技术条件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13797-2009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16751.1-2023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中医临床诊疗术语  第1部分：疾病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16751.1-1997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5750.6-2023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 第6部分：金属和类金属指标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5750.6-2006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5750.7-2023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 第7部分：有机物综合指标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5750.7-2006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5750.4-2023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 第4部分：感官性状和物理指标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5750.4-2006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5750.12-2023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 第12部分：微生物指标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5750.12-2006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5750.3-2023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 第3部分：水质分析质量控制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5750.3-2006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5750.5-2023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 第5部分：无机非金属指标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5750.5-2006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5750.1-2023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  第1部分：总则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5750.1-2006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5750.11-2023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 第11部分：消毒剂指标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5750.11-2006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42462-2023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化妆品色谱分析结果确认准则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42464-2023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豆豉质量通则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42463-2023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鱼露质量通则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42467.2-2023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中医临床名词术语 第2部分：外科学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18779.3-2023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产品几何技术规范（GPS） 工件与测量设备的测量检验 第3部分：关于测量不确定度表述达成共识的指南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18779.3-2009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26958.61-2023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产品几何技术规范（GPS） 滤波 第61部分：线性区域滤波器 高斯滤波器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600-2023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船舶管路阀件通用技术条件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600-2008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5374-2023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摩托车和轻便摩托车可靠性试验方法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5374-2008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42467.3-2023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中医临床名词术语 第3部分：皮肤科学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42467.1-2023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中医临床名词术语 第1部分：内科学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42467.4-2023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中医临床名词术语 第4部分：肛肠科学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42467.8-2023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中医临床名词术语 第8部分：眼科学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42467.6-2023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中医临床名词术语 第6部分：妇科学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42467.5-2023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中医临床名词术语 第5部分：骨伤科学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42467.7-2023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中医临床名词术语 第7部分：儿科学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24721.1-2023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公路用玻璃纤维增强塑料产品 第1部分：通则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24721.1-2009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26765-2023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机动车安全技术检验业务信息系统及联网规范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26765-2011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19700-2023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船用热交换器热工性能试验方法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19700-2005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42299-2023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大米加工企业设计规范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42467.9-2023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中医临床名词术语 第9部分：耳鼻喉科学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18779.2-2023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产品几何技术规范(GPS) 工件与测量设备的测量检验 第2部分：GPS测量、测量设备校准和产品验证中的测量不确定度评估指南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18779.2-2004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30966.4-2023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风力发电机组  风力发电场监控系统通信 第4部分：映射到通信规约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30966.4-2014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31552-2023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铸造机械  分类与型号编制方法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31552-2015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22419-2023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工业车辆  集装箱吊具和抓臂操作用指示灯技术要求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22419-2008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12222-2023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多回转阀门驱动装置的连接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12222-2005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21078.4-2023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金融服务 个人识别码管理与安全 第4部分：核准的PIN加密算法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21373-2023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知识产权文献与信息 分类及代码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21373-2008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42325-2023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切相调光照明系统中切相调光器的电气接口规范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14058-2023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γ射线探伤机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14058-2008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17271-2023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集装箱运输术语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17271-1998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17894-2023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集装箱  自动识别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17894-1999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1413-2023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系列1集装箱 分类、尺寸和额定质量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1413-2008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21078.1-2023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金融服务 个人识别码管理与安全 第1部分：基于卡系统的PIN基本原则和要求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21078.1-2007,GB/T 21078.2-2011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24421.1-2023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服务业组织标准化工作指南 第1部分：总则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24421.1-2009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31047-2023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品牌价值评价 食品加工及食品制造业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31047-2014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24421.2-2023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服务业组织标准化工作指南 第2部分：标准体系构建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24421.2-2009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19025-2023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质量管理 能力管理和人员发展指南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19025-2001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42422-2023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金融机构风险管理 框架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19028-2023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质量管理 人员积极参与指南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19028-2018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42495.1-2023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金融服务 全球法人识别编码 第1部分：编码说明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42497-2023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跨境电子商务进口商品质量风险评估指南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42494-2023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国际道路货运枢纽功能配置及基本要求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42499-2023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电子商务投诉举报信息分类与代码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11601-2023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集装箱进出港站检查交接要求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11601-2000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1992-2023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集装箱术语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1992-2006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24718-2023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防眩板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24718-2009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16561-2023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集装箱设备交接单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16561-1996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28787-2023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城市公共汽电车车载智能终端与调度中心间数据通信协议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28787-2012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42307-2023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肥料和土壤调理剂 尿素基肥料中缩二脲含量的测定 高效液相色谱法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42304-2023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屠宰动物福利准则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42493-2023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管理咨询服务指南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42500-2023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即时配送服务规范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42496-2023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绿色展览运营指南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42498-2023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电子商务在线争议解决规范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42503-2023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农产品产地冷链物流服务规范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42501-2023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逆向物流服务评价指标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42504-2023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消费者保证/担保准则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42502-2023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医药物流质量管理审核规范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42507-2023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从业人员信用档案建设与管理要求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42505-2023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债券价格指标产品数据采集规范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42506-2023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国有企业采购信用信息公示规范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33445-2023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煤制合成天然气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33445-2016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20609-2023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交通信息采集 微波交通流检测器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20609-2006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24721.5-2023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公路用玻璃纤维增强塑料产品 第5部分：标志底板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24721.5-2009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24721.2-2023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公路用玻璃纤维增强塑料产品 第2部分：管箱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24721.2-2009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24721.3-2023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公路用玻璃纤维增强塑料产品 第3部分：管道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24721.3-2009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42328-2023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船用柴油机脱硫装置技术要求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42327-2023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船用固定式化学干粉灭火系统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42508-2023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投资项目风险评估指南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42509-2023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质量管理 顾客体验管理指南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GB/Z 42476-2023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公共安全 应急管理 信息交互结构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42475-2023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化学品 中华蜜蜂急性经口毒性试验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42446-2023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网络安全从业人员能力基本要求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42450-2023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大数据 数据资源规划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42447-2023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电信领域数据安全指南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32800.11-2023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手持式非电类动力工具  安全要求  第11部分：冲剪机和剪刀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32800.2-2023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手持式非电类动力工具  安全要求  第2部分：切断和扣压动力工具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34131-2023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电力储能用电池管理系统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34131-2017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17729-2023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长途客车内空气质量要求及检测方法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17729-2009,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28370-2012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24721.4-2023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公路用玻璃纤维增强塑料产品 第4部分：非承压通信井盖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24721.4-2009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42318-2023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电化学储能电站环境影响评价导则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42329.1-2023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船舶与海上技术   船舶浸水防护用充气浮力支持系统  第1部分：供气系统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42326-2023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内河航道代码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17346-2023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汽车脚踏板位置尺寸测量方法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17346-1998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27874-2023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船舶节能产品使用技术条件及评定方法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27874-2011,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27878-2011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42341-2023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挖泥船离心式泥泵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23828-2023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高速公路LED可变信息标志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23828-2009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24002.1-2023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环境管理体系 针对环境主题领域应用 GB/T 24001管理环境因素和应对环境状况的指南 第1部分：通则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42451-2023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 工业云服务 能力评估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42448-2023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系统与软件工程  功能规模测量 FiSMA1.1方法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42453-2023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网络安全态势感知通用技术要求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42449-2023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系统与软件工程　功能规模测量　IFPUG方法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15166.6-2023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高压交流熔断器 第6部分：用于变压器回路的高压熔断器的熔断件选用导则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15166.6-2008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21972.1-2023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起重及冶金用变频调速三相异步电动机技术条件  第1部分：YZP系列起重及冶金用变频调速三相异步电动机（机座号100～400）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21972.1-2008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19215.5-2023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电气安装用电缆槽管系统 第2部分：特殊要求 第3节：安装在机柜中的带槽电缆线槽系统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42321-2023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具有内部电弧类别的3.6 kV～40.5 kV柱上安装金属封闭开关设备的附加要求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42320-2023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能源互联网规划技术导则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42332-2023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海岛及周边海域地形图测绘规范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42340-2023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生态系统评估 生态系统格局与质量评价方法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42330-2023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大洋样品管理分类代码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42333-2023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土壤、水系沉积物 碘含量的测定 氨水封闭溶解-电感耦合等离子体质谱法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42331-2023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潮流能发电装置技术成熟度评估导则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42308-2023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电子设备用电位器 第6-1部分：空白详细规范    表面安装预调电位器 评定水平EZ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42324-2023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电气装置用电缆密封头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2317.4-2023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电力金具试验方法 第4部分：验收规则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2317.4-2008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20549-2023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数字蜂窝移动通信直放机电磁兼容技术要求和测试方法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20549-2006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42310-2023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纳米技术 石墨烯粉体比表面积的测定 氩气吸附静态容量法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42309-2023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修复过程中易损毁类纸质档案加固方法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42311-2023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纳米技术 吸入毒性研究中呼吸暴露舱内纳米颗粒的表征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42361-2023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海域使用论证技术导则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14496-2023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地球化学勘查术语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14496-1993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42363-2023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土壤理化分析样品的预处理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16731-2023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建筑吸声产品的吸声性能分级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16731-1997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19390-2023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轮胎用聚酯浸胶帘子布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19390-2014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5275.6-2023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气体分析  动态法制备校准用混合气体   第6部分：临界流锐孔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5275.6-2014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521-2023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轮胎外缘尺寸测量方法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521-2012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4501-2023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载重汽车轮胎性能室内试验方法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4501-2016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27592-2023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反应染料  轧染固色率的测定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27592-2011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42360-2023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表面化学分析  水的全反射X射线荧光光谱分析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42380-2023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未成年人司法社会工作服务规范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28220-2023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公共图书馆服务规范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28220-2011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42379-2023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移动真冰场技术规范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GB/Z 42353-2023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Zeta电位测定操作指南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42352-2023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金属覆盖层 钢铁上物理气相沉积镉涂层 技术规范与试验方法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42355.2-2023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钢筋混凝土用锚固板钢筋 第2部分：试验方法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42354-2023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制药机械(设备)材料选用导则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32800.1-2023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手持式非电类动力工具  安全要求  第1部分：非螺纹结构紧固件用装配动力工具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42355.1-2023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钢筋混凝土用锚固板钢筋 第1部分：技术条件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42356-2023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工业车辆轮胎滚动阻力试验方法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26416.6-2023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稀土铁合金化学分析方法 第6部分：钼、钨、钛量的测定 电感耦合等离子体发射光谱法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21711.1-2023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基础机电继电器 第1部分：总则与安全要求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21711.1-2008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6346.14-2023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电子设备用固定电容器   第14部分：分规范   抑制电源电磁干扰用固定电容器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6346.14-2015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GB/Z 42358-2023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铁矿石 波长色散X射线荧光光谱仪 精度的测定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42391-2023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铅酸蓄电池用电解液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42394-2023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电气装置用电缆夹具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42395.1-2023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人类工效学  家电噪声声品质限值和测试方法 第1部分：冰箱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42393-2023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高海拔微地形微气象条件下电网区域风害分布图绘制方法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23794-2023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企业信用评价指标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23794-2015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42336-2023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固定收益证券利息核算规范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31953-2023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企业信用评价报告编制指南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31953-2015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26817-2023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企业信用调查报告格式要求 基本信息报告、普通调查报告、深度调查报告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26817-2011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42339-2023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金融机构风险管理 术语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42306-2023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软木粒和软木粉  分类、性质和包装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42305-2023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肉桂栽培技术规程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42365-2023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农产品流通服务可持续性评价技术导则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27522-2023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畜禽养殖污水监测技术规范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27522-2011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21145-2023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运输用制冷机组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21145-2007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21362-2023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商业或工业用及类似用途的热泵热水机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21362-2008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28896-2023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金属材料  焊接接头准静态断裂韧度测定的试验方法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28896-2012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42396-2023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移动终端人-系统交互工效学  触控界面感知流畅性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42398-2023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细胞培养洁净室设计技术规范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42397-2023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考虑非绝热效应时允许短路电流的计算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20042.2-2023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质子交换膜燃料电池 第2部分：电池堆通用技术条件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20042.2-2008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28627-2023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抹灰石膏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28627-2012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239.1-2023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金属材料 线材 第1部分：单向扭转试验方法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239.1-2012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21144-2023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混凝土实心砖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21144-2007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29551-2023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建筑用太阳能光伏夹层玻璃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29551-2013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30656-2023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碳化硅单晶抛光片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30656-2014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239.2-2023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金属材料 线材 第2部分：双向扭转试验方法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239.2-2012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27794-2023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电力电缆用预制混凝土导管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27794-2011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42342.2-2023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粒度分布 液相离心沉降法 第2部分：光电离心法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42346-2023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钒钛磁铁矿综合利用 术语和定义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GB/Z 42344-2023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制药机械（设备）计算机化系统验证指南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42345-2023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钒钛磁铁矿 矿物定量检测方法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42347-2023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机械预冷设备通用技术要求与试验方法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42350-2023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粉煤灰质陶瓷砖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42349-2023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光催化材料抗病毒活性的测定  Q-β噬菌体试验方法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32800.10-2023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手持式非电类动力工具  安全要求  第10部分：挤压式动力工具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42348-2023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粒度分析 颗粒跟踪分析法(PTA)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18090-2023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猪繁殖与呼吸综合征诊断方法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18090-2008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42367-2023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化学品 原生动物活性污泥抑制试验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42366-2023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化学品 静水椎实螺繁殖试验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42368-2023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高温高压条件下可燃气体（蒸气）爆炸极限测定方法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31950-2023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企业诚信管理体系 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31950-2015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42337-2023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公共信用信息报告编制指南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42334.1-2023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城市轨道交通运营安全评估规范 第1部分：地铁和轻轨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11836-2023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混凝土和钢筋混凝土排水管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11836-2009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25861-2023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蒸气压缩循环水源高温热泵机组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25861-2010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6913-2023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锅炉用水和冷却水分析方法 磷酸盐的测定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6913-2008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27690-2023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砂浆和混凝土用硅灰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27690-2011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bottom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2088" w:type="dxa"/>
            <w:tcBorders>
              <w:bottom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6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30020-2023</w:t>
            </w:r>
          </w:p>
        </w:tc>
        <w:tc>
          <w:tcPr>
            <w:tcW w:w="7352" w:type="dxa"/>
            <w:tcBorders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玻璃缺陷检测方法 光弹扫描法</w:t>
            </w:r>
          </w:p>
        </w:tc>
        <w:tc>
          <w:tcPr>
            <w:tcW w:w="2643" w:type="dxa"/>
            <w:tcBorders>
              <w:bottom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30020-2013</w:t>
            </w:r>
          </w:p>
        </w:tc>
        <w:tc>
          <w:tcPr>
            <w:tcW w:w="1134" w:type="dxa"/>
            <w:tcBorders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</w:tbl>
    <w:p>
      <w:pPr>
        <w:widowControl/>
        <w:jc w:val="left"/>
        <w:rPr>
          <w:rFonts w:hint="eastAsia" w:ascii="黑体" w:hAnsi="黑体" w:eastAsia="黑体" w:cs="Times New Roman"/>
          <w:sz w:val="32"/>
          <w:szCs w:val="32"/>
        </w:rPr>
      </w:pPr>
    </w:p>
    <w:p>
      <w:pPr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br w:type="page"/>
      </w:r>
    </w:p>
    <w:p>
      <w:pPr>
        <w:widowControl/>
        <w:jc w:val="lef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二、国家标准修改单</w:t>
      </w:r>
    </w:p>
    <w:tbl>
      <w:tblPr>
        <w:tblStyle w:val="10"/>
        <w:tblW w:w="13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147"/>
        <w:gridCol w:w="7708"/>
        <w:gridCol w:w="1927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5" w:type="dxa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序列</w:t>
            </w:r>
          </w:p>
        </w:tc>
        <w:tc>
          <w:tcPr>
            <w:tcW w:w="21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国家标准编号</w:t>
            </w:r>
          </w:p>
        </w:tc>
        <w:tc>
          <w:tcPr>
            <w:tcW w:w="7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国  家  标  准  名  称</w:t>
            </w:r>
          </w:p>
        </w:tc>
        <w:tc>
          <w:tcPr>
            <w:tcW w:w="19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代替标准号</w:t>
            </w:r>
          </w:p>
        </w:tc>
        <w:tc>
          <w:tcPr>
            <w:tcW w:w="1348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5" w:type="dxa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1536-2021</w:t>
            </w:r>
          </w:p>
        </w:tc>
        <w:tc>
          <w:tcPr>
            <w:tcW w:w="7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菜籽油 《第1号修改单》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1536-2004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5" w:type="dxa"/>
            <w:tcBorders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47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3883.201-2017</w:t>
            </w:r>
          </w:p>
        </w:tc>
        <w:tc>
          <w:tcPr>
            <w:tcW w:w="770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手持式、可移式电动工具和园林工具的安全 第2部分：电钻和冲击电钻的专用要求 《第01号修改单》</w:t>
            </w:r>
          </w:p>
        </w:tc>
        <w:tc>
          <w:tcPr>
            <w:tcW w:w="1927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3883.6-2012</w:t>
            </w:r>
          </w:p>
        </w:tc>
        <w:tc>
          <w:tcPr>
            <w:tcW w:w="1348" w:type="dxa"/>
            <w:tcBorders>
              <w:lef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5" w:type="dxa"/>
            <w:tcBorders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47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18877-2020</w:t>
            </w:r>
          </w:p>
        </w:tc>
        <w:tc>
          <w:tcPr>
            <w:tcW w:w="770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有机无机复混肥料 《第1号修改单》</w:t>
            </w:r>
          </w:p>
        </w:tc>
        <w:tc>
          <w:tcPr>
            <w:tcW w:w="1927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18877-2009</w:t>
            </w:r>
          </w:p>
        </w:tc>
        <w:tc>
          <w:tcPr>
            <w:tcW w:w="1348" w:type="dxa"/>
            <w:tcBorders>
              <w:lef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5" w:type="dxa"/>
            <w:tcBorders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47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21017-2021</w:t>
            </w:r>
          </w:p>
        </w:tc>
        <w:tc>
          <w:tcPr>
            <w:tcW w:w="770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玉米干燥技术规范 《第1号修改单》</w:t>
            </w:r>
          </w:p>
        </w:tc>
        <w:tc>
          <w:tcPr>
            <w:tcW w:w="1927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21017-2007</w:t>
            </w:r>
          </w:p>
        </w:tc>
        <w:tc>
          <w:tcPr>
            <w:tcW w:w="1348" w:type="dxa"/>
            <w:tcBorders>
              <w:lef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5" w:type="dxa"/>
            <w:tcBorders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47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23347-2021</w:t>
            </w:r>
          </w:p>
        </w:tc>
        <w:tc>
          <w:tcPr>
            <w:tcW w:w="770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橄榄油、油橄榄果渣油 《第1号修改单》</w:t>
            </w:r>
          </w:p>
        </w:tc>
        <w:tc>
          <w:tcPr>
            <w:tcW w:w="1927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23347-2009</w:t>
            </w:r>
          </w:p>
        </w:tc>
        <w:tc>
          <w:tcPr>
            <w:tcW w:w="1348" w:type="dxa"/>
            <w:tcBorders>
              <w:lef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5" w:type="dxa"/>
            <w:tcBorders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47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39248-2020</w:t>
            </w:r>
          </w:p>
        </w:tc>
        <w:tc>
          <w:tcPr>
            <w:tcW w:w="770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输送液化石油气和液化天然气用热塑性塑料多层（非硫化）软管及软管组合件  规范 《第1号修改单》</w:t>
            </w:r>
          </w:p>
        </w:tc>
        <w:tc>
          <w:tcPr>
            <w:tcW w:w="1927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8" w:type="dxa"/>
            <w:tcBorders>
              <w:lef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</w:tbl>
    <w:p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Times New Roman" w:hAnsi="Times New Roman" w:eastAsia="仿宋_GB2312" w:cs="Times New Roman"/>
          <w:spacing w:val="23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备注：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2022年第21号公告发布的《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val="en-US" w:eastAsia="zh-CN" w:bidi="ar"/>
        </w:rPr>
        <w:t>石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油天然气工业 水下生产系统的设计和操作 第2部分：非粘结挠性管系统》标准号应当为：GB/T 21412.2-2022。</w:t>
      </w:r>
    </w:p>
    <w:p>
      <w:pPr>
        <w:pStyle w:val="2"/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pStyle w:val="2"/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pStyle w:val="2"/>
        <w:rPr>
          <w:rFonts w:hint="eastAsia"/>
          <w:lang w:eastAsia="zh-CN"/>
        </w:rPr>
        <w:sectPr>
          <w:footerReference r:id="rId3" w:type="default"/>
          <w:footerReference r:id="rId4" w:type="even"/>
          <w:pgSz w:w="16838" w:h="11906" w:orient="landscape"/>
          <w:pgMar w:top="1984" w:right="1474" w:bottom="1644" w:left="1474" w:header="851" w:footer="119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AndChars" w:linePitch="298" w:charSpace="819"/>
        </w:sectPr>
      </w:pPr>
    </w:p>
    <w:p>
      <w:pPr>
        <w:spacing w:line="500" w:lineRule="exact"/>
        <w:rPr>
          <w:rFonts w:ascii="方正仿宋简体" w:eastAsia="方正仿宋简体"/>
          <w:sz w:val="32"/>
          <w:szCs w:val="32"/>
        </w:rPr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309880</wp:posOffset>
                </wp:positionV>
                <wp:extent cx="5689600" cy="16510"/>
                <wp:effectExtent l="0" t="7620" r="6350" b="1397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62025" y="8855075"/>
                          <a:ext cx="5689600" cy="1651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24.4pt;height:1.3pt;width:448pt;z-index:251659264;mso-width-relative:page;mso-height-relative:page;" filled="f" stroked="t" coordsize="21600,21600" o:gfxdata="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STGobXAAAABwEAAA8AAAAAAAAAAQAgAAAAIgAAAGRycy9kb3ducmV2LnhtbFBLAQIUABQAAAAI&#10;AIdO4kBQylp97gEAALgDAAAOAAAAAAAAAAEAIAAAACYBAABkcnMvZTJvRG9jLnhtbFBLBQYAAAAA&#10;BgAGAFkBAACG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 w:eastAsia="宋体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分送：</w:t>
      </w:r>
      <w:r>
        <w:rPr>
          <w:rFonts w:hint="eastAsia" w:ascii="仿宋_GB2312" w:eastAsia="仿宋_GB2312"/>
          <w:spacing w:val="-11"/>
          <w:sz w:val="28"/>
          <w:szCs w:val="28"/>
          <w:lang w:eastAsia="zh-CN"/>
        </w:rPr>
        <w:t>各省、自治区、直辖市和新疆生产建设兵团市场监管局（厅、委）。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none" w:color="auto" w:sz="0" w:space="4"/>
          <w:bottom w:val="single" w:color="auto" w:sz="12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jc w:val="both"/>
        <w:textAlignment w:val="auto"/>
        <w:rPr>
          <w:rFonts w:hint="eastAsia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国家标准化管理委员会秘书处</w:t>
      </w:r>
      <w:r>
        <w:rPr>
          <w:rFonts w:hint="eastAsia" w:ascii="仿宋_GB2312" w:eastAsia="仿宋_GB2312"/>
          <w:sz w:val="28"/>
          <w:szCs w:val="28"/>
          <w:lang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</w:t>
      </w:r>
      <w:r>
        <w:rPr>
          <w:rFonts w:ascii="Times New Roman" w:hAnsi="Times New Roman" w:eastAsia="仿宋_GB2312" w:cs="Times New Roman"/>
          <w:sz w:val="28"/>
          <w:szCs w:val="28"/>
        </w:rPr>
        <w:t>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日印发</w:t>
      </w:r>
    </w:p>
    <w:p>
      <w:pPr>
        <w:spacing w:line="20" w:lineRule="exact"/>
        <w:rPr>
          <w:rFonts w:ascii="方正小标宋简体" w:eastAsia="方正小标宋简体"/>
          <w:sz w:val="32"/>
          <w:szCs w:val="32"/>
        </w:rPr>
      </w:pPr>
    </w:p>
    <w:sectPr>
      <w:footerReference r:id="rId5" w:type="default"/>
      <w:footerReference r:id="rId6" w:type="even"/>
      <w:pgSz w:w="11906" w:h="16838"/>
      <w:pgMar w:top="1984" w:right="1474" w:bottom="1644" w:left="1474" w:header="851" w:footer="119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5A93CDB-1F63-4D99-9204-8AE70AA051A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 Math">
    <w:panose1 w:val="02040503050406030204"/>
    <w:charset w:val="86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D2060AC1-00C9-4F34-B086-0F279398158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B452D8DC-CD58-4A0B-82C8-30462D8DD462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F63C2404-F00F-451C-9551-7253ECF18AF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15" w:rightChars="150"/>
      <w:jc w:val="right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</w:pPr>
    <w:r>
      <w:rPr>
        <w:rFonts w:hint="eastAsia"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  <w:lang w:eastAsia="zh-CN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  <w:lang w:eastAsia="zh-CN"/>
      </w:rPr>
      <w:t xml:space="preserve"> </w:t>
    </w:r>
    <w:r>
      <w:rPr>
        <w:rFonts w:hint="eastAsia" w:ascii="宋体" w:hAnsi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15" w:rightChars="150"/>
      <w:jc w:val="right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ind w:left="315" w:leftChars="150" w:right="315" w:rightChars="150"/>
      <w:jc w:val="both"/>
      <w:textAlignment w:val="auto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07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wMjYzZTdiMWNjYjVlMWE4MTAyNjFkOTU1ZmY2MzcifQ=="/>
  </w:docVars>
  <w:rsids>
    <w:rsidRoot w:val="004429D8"/>
    <w:rsid w:val="00004FCA"/>
    <w:rsid w:val="00015160"/>
    <w:rsid w:val="0002026F"/>
    <w:rsid w:val="00071969"/>
    <w:rsid w:val="000876F0"/>
    <w:rsid w:val="000B3EFD"/>
    <w:rsid w:val="000C49E0"/>
    <w:rsid w:val="000D0844"/>
    <w:rsid w:val="000D5B66"/>
    <w:rsid w:val="000D6C18"/>
    <w:rsid w:val="000F7586"/>
    <w:rsid w:val="001032EE"/>
    <w:rsid w:val="0010470F"/>
    <w:rsid w:val="001274E2"/>
    <w:rsid w:val="001469AE"/>
    <w:rsid w:val="00155DC5"/>
    <w:rsid w:val="00155DEA"/>
    <w:rsid w:val="0016091F"/>
    <w:rsid w:val="00177866"/>
    <w:rsid w:val="001E1205"/>
    <w:rsid w:val="001E5EEA"/>
    <w:rsid w:val="0021368D"/>
    <w:rsid w:val="00225771"/>
    <w:rsid w:val="002266CE"/>
    <w:rsid w:val="0022745F"/>
    <w:rsid w:val="00250BC0"/>
    <w:rsid w:val="00252FFA"/>
    <w:rsid w:val="002538CF"/>
    <w:rsid w:val="002658B1"/>
    <w:rsid w:val="00271B4A"/>
    <w:rsid w:val="002822D3"/>
    <w:rsid w:val="002B0F2A"/>
    <w:rsid w:val="002E095D"/>
    <w:rsid w:val="002F3A19"/>
    <w:rsid w:val="003104B2"/>
    <w:rsid w:val="00311B6E"/>
    <w:rsid w:val="003179E9"/>
    <w:rsid w:val="00320F5F"/>
    <w:rsid w:val="00323E68"/>
    <w:rsid w:val="00324D3F"/>
    <w:rsid w:val="00327DA0"/>
    <w:rsid w:val="00335EC4"/>
    <w:rsid w:val="00343D4F"/>
    <w:rsid w:val="00351491"/>
    <w:rsid w:val="003775E7"/>
    <w:rsid w:val="00380AD2"/>
    <w:rsid w:val="003837FA"/>
    <w:rsid w:val="003F2E00"/>
    <w:rsid w:val="00424297"/>
    <w:rsid w:val="00437D1A"/>
    <w:rsid w:val="004429D8"/>
    <w:rsid w:val="00454772"/>
    <w:rsid w:val="004600C3"/>
    <w:rsid w:val="0046621F"/>
    <w:rsid w:val="00477BE9"/>
    <w:rsid w:val="00481181"/>
    <w:rsid w:val="00496F25"/>
    <w:rsid w:val="004A1E95"/>
    <w:rsid w:val="004D6D23"/>
    <w:rsid w:val="004D7E5A"/>
    <w:rsid w:val="004E17DD"/>
    <w:rsid w:val="00503534"/>
    <w:rsid w:val="0051790B"/>
    <w:rsid w:val="00522EE9"/>
    <w:rsid w:val="0052635E"/>
    <w:rsid w:val="00551578"/>
    <w:rsid w:val="00555B25"/>
    <w:rsid w:val="00557032"/>
    <w:rsid w:val="00557A9E"/>
    <w:rsid w:val="00565959"/>
    <w:rsid w:val="005D6F75"/>
    <w:rsid w:val="005E6C75"/>
    <w:rsid w:val="005F3BC0"/>
    <w:rsid w:val="005F4C96"/>
    <w:rsid w:val="00635061"/>
    <w:rsid w:val="0064381B"/>
    <w:rsid w:val="0064748E"/>
    <w:rsid w:val="00657DF0"/>
    <w:rsid w:val="00676737"/>
    <w:rsid w:val="0069441F"/>
    <w:rsid w:val="006D46D7"/>
    <w:rsid w:val="006D7173"/>
    <w:rsid w:val="006E54E0"/>
    <w:rsid w:val="006F33B3"/>
    <w:rsid w:val="006F614E"/>
    <w:rsid w:val="00711DE4"/>
    <w:rsid w:val="007251BD"/>
    <w:rsid w:val="00725A63"/>
    <w:rsid w:val="00741BDB"/>
    <w:rsid w:val="00794AD5"/>
    <w:rsid w:val="00797B44"/>
    <w:rsid w:val="007A5AB5"/>
    <w:rsid w:val="007C24E5"/>
    <w:rsid w:val="007C5348"/>
    <w:rsid w:val="007E528E"/>
    <w:rsid w:val="007E77D6"/>
    <w:rsid w:val="007F3462"/>
    <w:rsid w:val="007F463E"/>
    <w:rsid w:val="0081081C"/>
    <w:rsid w:val="00832DB0"/>
    <w:rsid w:val="0083485C"/>
    <w:rsid w:val="0083539A"/>
    <w:rsid w:val="008D137A"/>
    <w:rsid w:val="008D6AB9"/>
    <w:rsid w:val="008E2BAD"/>
    <w:rsid w:val="0092555A"/>
    <w:rsid w:val="00930684"/>
    <w:rsid w:val="00970FD0"/>
    <w:rsid w:val="0097182D"/>
    <w:rsid w:val="00972632"/>
    <w:rsid w:val="00973279"/>
    <w:rsid w:val="00984EBE"/>
    <w:rsid w:val="009B5953"/>
    <w:rsid w:val="009D5764"/>
    <w:rsid w:val="009E7961"/>
    <w:rsid w:val="009F29E5"/>
    <w:rsid w:val="00A30238"/>
    <w:rsid w:val="00A363FD"/>
    <w:rsid w:val="00A47A93"/>
    <w:rsid w:val="00A6334C"/>
    <w:rsid w:val="00A642EC"/>
    <w:rsid w:val="00A74AA3"/>
    <w:rsid w:val="00AA40FF"/>
    <w:rsid w:val="00AA50BF"/>
    <w:rsid w:val="00AE0F6D"/>
    <w:rsid w:val="00AE614E"/>
    <w:rsid w:val="00AF5CC7"/>
    <w:rsid w:val="00B0529F"/>
    <w:rsid w:val="00B12011"/>
    <w:rsid w:val="00B43C51"/>
    <w:rsid w:val="00B56101"/>
    <w:rsid w:val="00B60050"/>
    <w:rsid w:val="00B90B81"/>
    <w:rsid w:val="00B94F71"/>
    <w:rsid w:val="00BA5984"/>
    <w:rsid w:val="00BC3E53"/>
    <w:rsid w:val="00BD57AA"/>
    <w:rsid w:val="00C0664E"/>
    <w:rsid w:val="00C169B5"/>
    <w:rsid w:val="00C332C5"/>
    <w:rsid w:val="00C46301"/>
    <w:rsid w:val="00CA74EE"/>
    <w:rsid w:val="00CA77B7"/>
    <w:rsid w:val="00CE0A9F"/>
    <w:rsid w:val="00CF672F"/>
    <w:rsid w:val="00CF7121"/>
    <w:rsid w:val="00D37AF5"/>
    <w:rsid w:val="00D417A2"/>
    <w:rsid w:val="00D453F2"/>
    <w:rsid w:val="00D46307"/>
    <w:rsid w:val="00D52A98"/>
    <w:rsid w:val="00D57592"/>
    <w:rsid w:val="00D7399F"/>
    <w:rsid w:val="00D911A5"/>
    <w:rsid w:val="00DA6895"/>
    <w:rsid w:val="00DE2756"/>
    <w:rsid w:val="00DE46D5"/>
    <w:rsid w:val="00DE525F"/>
    <w:rsid w:val="00DE78D9"/>
    <w:rsid w:val="00DF3400"/>
    <w:rsid w:val="00E13730"/>
    <w:rsid w:val="00E179A1"/>
    <w:rsid w:val="00E20D67"/>
    <w:rsid w:val="00E44CF2"/>
    <w:rsid w:val="00E61426"/>
    <w:rsid w:val="00E82F5A"/>
    <w:rsid w:val="00E97FC4"/>
    <w:rsid w:val="00EA5943"/>
    <w:rsid w:val="00ED280A"/>
    <w:rsid w:val="00ED4ACE"/>
    <w:rsid w:val="00EE373F"/>
    <w:rsid w:val="00F03E21"/>
    <w:rsid w:val="00F072A3"/>
    <w:rsid w:val="00F21548"/>
    <w:rsid w:val="00F46ACB"/>
    <w:rsid w:val="00F64545"/>
    <w:rsid w:val="00F808A4"/>
    <w:rsid w:val="00F865F5"/>
    <w:rsid w:val="00F975C7"/>
    <w:rsid w:val="00FB4325"/>
    <w:rsid w:val="00FB4E4D"/>
    <w:rsid w:val="00FC1A26"/>
    <w:rsid w:val="00FF0E72"/>
    <w:rsid w:val="04465C25"/>
    <w:rsid w:val="04BD1014"/>
    <w:rsid w:val="050C4E4D"/>
    <w:rsid w:val="0CD30E4B"/>
    <w:rsid w:val="0D701F12"/>
    <w:rsid w:val="0F506799"/>
    <w:rsid w:val="0FF0E79A"/>
    <w:rsid w:val="101D74BB"/>
    <w:rsid w:val="12986199"/>
    <w:rsid w:val="137110B8"/>
    <w:rsid w:val="15130C7A"/>
    <w:rsid w:val="16754BEE"/>
    <w:rsid w:val="19673738"/>
    <w:rsid w:val="1A4F22A1"/>
    <w:rsid w:val="1CE559A0"/>
    <w:rsid w:val="1CEC4122"/>
    <w:rsid w:val="1F3E183E"/>
    <w:rsid w:val="1FFF148E"/>
    <w:rsid w:val="24F51523"/>
    <w:rsid w:val="26DC42BD"/>
    <w:rsid w:val="28773C04"/>
    <w:rsid w:val="297237DD"/>
    <w:rsid w:val="29EE26A2"/>
    <w:rsid w:val="29FBA398"/>
    <w:rsid w:val="2CC22420"/>
    <w:rsid w:val="2D4EEE79"/>
    <w:rsid w:val="2FFD168E"/>
    <w:rsid w:val="31077699"/>
    <w:rsid w:val="31E31DB8"/>
    <w:rsid w:val="32B209C7"/>
    <w:rsid w:val="333D7989"/>
    <w:rsid w:val="344B6E69"/>
    <w:rsid w:val="35511F61"/>
    <w:rsid w:val="35AC3113"/>
    <w:rsid w:val="36B31F95"/>
    <w:rsid w:val="37DF7C21"/>
    <w:rsid w:val="38AE0930"/>
    <w:rsid w:val="39D7204E"/>
    <w:rsid w:val="3BE7D995"/>
    <w:rsid w:val="3D3CF64F"/>
    <w:rsid w:val="3D7F33FA"/>
    <w:rsid w:val="3DFF8090"/>
    <w:rsid w:val="3E8F38B7"/>
    <w:rsid w:val="3EF752DA"/>
    <w:rsid w:val="3F0B26CC"/>
    <w:rsid w:val="3F7F6977"/>
    <w:rsid w:val="3FD39FA3"/>
    <w:rsid w:val="41127064"/>
    <w:rsid w:val="43B850E8"/>
    <w:rsid w:val="4748745A"/>
    <w:rsid w:val="47687178"/>
    <w:rsid w:val="47AC01B5"/>
    <w:rsid w:val="47D4726C"/>
    <w:rsid w:val="4A103EFD"/>
    <w:rsid w:val="4A2B73D1"/>
    <w:rsid w:val="4C44287B"/>
    <w:rsid w:val="4C79ECF4"/>
    <w:rsid w:val="4D906D33"/>
    <w:rsid w:val="4DBFAA61"/>
    <w:rsid w:val="51433C13"/>
    <w:rsid w:val="52136962"/>
    <w:rsid w:val="52934F0B"/>
    <w:rsid w:val="529770AE"/>
    <w:rsid w:val="52FA253D"/>
    <w:rsid w:val="53823A42"/>
    <w:rsid w:val="53E978BF"/>
    <w:rsid w:val="54041E64"/>
    <w:rsid w:val="54D332BF"/>
    <w:rsid w:val="55037E8F"/>
    <w:rsid w:val="570222DE"/>
    <w:rsid w:val="57BF2DA2"/>
    <w:rsid w:val="57BF39F8"/>
    <w:rsid w:val="58D6785F"/>
    <w:rsid w:val="5BBEB2B6"/>
    <w:rsid w:val="5BCE6E37"/>
    <w:rsid w:val="5CA6175E"/>
    <w:rsid w:val="5D10443D"/>
    <w:rsid w:val="5EFD5329"/>
    <w:rsid w:val="5F59C619"/>
    <w:rsid w:val="5F5C1672"/>
    <w:rsid w:val="5FCF1ED4"/>
    <w:rsid w:val="60AE416C"/>
    <w:rsid w:val="61CA3494"/>
    <w:rsid w:val="642FECCE"/>
    <w:rsid w:val="64DA3411"/>
    <w:rsid w:val="65CB4FB4"/>
    <w:rsid w:val="67FF56DD"/>
    <w:rsid w:val="681775CB"/>
    <w:rsid w:val="69015752"/>
    <w:rsid w:val="6A0E7CE5"/>
    <w:rsid w:val="6B751AD0"/>
    <w:rsid w:val="6E485159"/>
    <w:rsid w:val="6EAD79F2"/>
    <w:rsid w:val="6EEC18ED"/>
    <w:rsid w:val="6F643D9C"/>
    <w:rsid w:val="6FEFC31E"/>
    <w:rsid w:val="7202194A"/>
    <w:rsid w:val="72A777B7"/>
    <w:rsid w:val="737FD0F5"/>
    <w:rsid w:val="75E7EEBA"/>
    <w:rsid w:val="76C3431C"/>
    <w:rsid w:val="777D522F"/>
    <w:rsid w:val="77FFFABF"/>
    <w:rsid w:val="7ADA7712"/>
    <w:rsid w:val="7BF29DDC"/>
    <w:rsid w:val="7BFFFC6E"/>
    <w:rsid w:val="7CAC5332"/>
    <w:rsid w:val="7CFF80E2"/>
    <w:rsid w:val="7D6E116E"/>
    <w:rsid w:val="7E054E0B"/>
    <w:rsid w:val="7EDD5827"/>
    <w:rsid w:val="7F1A7C91"/>
    <w:rsid w:val="7F7B04FD"/>
    <w:rsid w:val="7F7F6001"/>
    <w:rsid w:val="7F99FC5B"/>
    <w:rsid w:val="7F9E8A32"/>
    <w:rsid w:val="7FCF0BD5"/>
    <w:rsid w:val="7FDB167C"/>
    <w:rsid w:val="7FDF107F"/>
    <w:rsid w:val="7FF96D3E"/>
    <w:rsid w:val="9D67A2C0"/>
    <w:rsid w:val="9FF5E299"/>
    <w:rsid w:val="B5BF5F1C"/>
    <w:rsid w:val="B7F4859B"/>
    <w:rsid w:val="B7FBB37D"/>
    <w:rsid w:val="BFF28E37"/>
    <w:rsid w:val="BFFBF86A"/>
    <w:rsid w:val="CD751717"/>
    <w:rsid w:val="CF5F37ED"/>
    <w:rsid w:val="CF7F238C"/>
    <w:rsid w:val="D17D6641"/>
    <w:rsid w:val="D3B476BF"/>
    <w:rsid w:val="DD7A6D75"/>
    <w:rsid w:val="EAECF2AB"/>
    <w:rsid w:val="EBFD0A8E"/>
    <w:rsid w:val="ECFEBF52"/>
    <w:rsid w:val="EFDBCF90"/>
    <w:rsid w:val="EFFDF953"/>
    <w:rsid w:val="EFFFCD9F"/>
    <w:rsid w:val="F3D9E9A7"/>
    <w:rsid w:val="F4B5C90B"/>
    <w:rsid w:val="F7EF154F"/>
    <w:rsid w:val="F7F7B6E2"/>
    <w:rsid w:val="F8CF3082"/>
    <w:rsid w:val="FAFF9CD1"/>
    <w:rsid w:val="FB7FF94F"/>
    <w:rsid w:val="FCDA5816"/>
    <w:rsid w:val="FD7BA495"/>
    <w:rsid w:val="FDBFD245"/>
    <w:rsid w:val="FE3B76DC"/>
    <w:rsid w:val="FE3BA5E3"/>
    <w:rsid w:val="FE53D536"/>
    <w:rsid w:val="FEBF307D"/>
    <w:rsid w:val="FEC300EB"/>
    <w:rsid w:val="FEF13415"/>
    <w:rsid w:val="FEF37F87"/>
    <w:rsid w:val="FEFBDD17"/>
    <w:rsid w:val="FF7EFB2E"/>
    <w:rsid w:val="FFBFB4AD"/>
    <w:rsid w:val="FFDE03C7"/>
    <w:rsid w:val="FFF7804D"/>
    <w:rsid w:val="FFFD28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9"/>
    <w:pPr>
      <w:keepNext/>
      <w:keepLines/>
      <w:spacing w:line="560" w:lineRule="exact"/>
      <w:outlineLvl w:val="2"/>
    </w:pPr>
    <w:rPr>
      <w:b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Cambria Math" w:hAnsi="Cambria Math" w:eastAsia="Cambria Math" w:cs="Cambria Math"/>
      <w:kern w:val="0"/>
      <w:sz w:val="24"/>
      <w:szCs w:val="24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semiHidden/>
    <w:unhideWhenUsed/>
    <w:qFormat/>
    <w:uiPriority w:val="0"/>
  </w:style>
  <w:style w:type="character" w:styleId="14">
    <w:name w:val="FollowedHyperlink"/>
    <w:basedOn w:val="12"/>
    <w:semiHidden/>
    <w:unhideWhenUsed/>
    <w:qFormat/>
    <w:uiPriority w:val="99"/>
    <w:rPr>
      <w:color w:val="993366"/>
      <w:u w:val="single"/>
    </w:rPr>
  </w:style>
  <w:style w:type="character" w:styleId="15">
    <w:name w:val="Hyperlink"/>
    <w:basedOn w:val="12"/>
    <w:semiHidden/>
    <w:unhideWhenUsed/>
    <w:qFormat/>
    <w:uiPriority w:val="99"/>
    <w:rPr>
      <w:color w:val="0066CC"/>
      <w:u w:val="single"/>
    </w:rPr>
  </w:style>
  <w:style w:type="character" w:customStyle="1" w:styleId="16">
    <w:name w:val="日期 字符"/>
    <w:basedOn w:val="12"/>
    <w:link w:val="5"/>
    <w:semiHidden/>
    <w:qFormat/>
    <w:uiPriority w:val="99"/>
  </w:style>
  <w:style w:type="character" w:customStyle="1" w:styleId="17">
    <w:name w:val="批注框文本 字符"/>
    <w:basedOn w:val="12"/>
    <w:link w:val="6"/>
    <w:semiHidden/>
    <w:qFormat/>
    <w:uiPriority w:val="99"/>
    <w:rPr>
      <w:sz w:val="18"/>
      <w:szCs w:val="18"/>
    </w:rPr>
  </w:style>
  <w:style w:type="character" w:customStyle="1" w:styleId="18">
    <w:name w:val="页脚 字符"/>
    <w:basedOn w:val="12"/>
    <w:link w:val="7"/>
    <w:qFormat/>
    <w:uiPriority w:val="99"/>
    <w:rPr>
      <w:sz w:val="18"/>
      <w:szCs w:val="18"/>
    </w:rPr>
  </w:style>
  <w:style w:type="character" w:customStyle="1" w:styleId="19">
    <w:name w:val="页眉 字符"/>
    <w:basedOn w:val="12"/>
    <w:link w:val="8"/>
    <w:qFormat/>
    <w:uiPriority w:val="99"/>
    <w:rPr>
      <w:sz w:val="18"/>
      <w:szCs w:val="18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7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5">
    <w:name w:val="xl7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4"/>
      <w:szCs w:val="24"/>
    </w:rPr>
  </w:style>
  <w:style w:type="paragraph" w:customStyle="1" w:styleId="26">
    <w:name w:val="xl7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customStyle="1" w:styleId="27">
    <w:name w:val="xl76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7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79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80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3">
    <w:name w:val="xl8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4">
    <w:name w:val="xl8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5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8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7">
    <w:name w:val="xl8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styleId="38">
    <w:name w:val="List Paragraph"/>
    <w:basedOn w:val="1"/>
    <w:qFormat/>
    <w:uiPriority w:val="34"/>
    <w:pPr>
      <w:ind w:firstLine="420" w:firstLineChars="200"/>
    </w:pPr>
  </w:style>
  <w:style w:type="paragraph" w:customStyle="1" w:styleId="39">
    <w:name w:val="xl8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88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1">
    <w:name w:val="xl8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xl90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3">
    <w:name w:val="xl9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4">
    <w:name w:val="xl92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5">
    <w:name w:val="xl93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20</Pages>
  <Words>9144</Words>
  <Characters>20253</Characters>
  <Lines>192</Lines>
  <Paragraphs>54</Paragraphs>
  <TotalTime>4</TotalTime>
  <ScaleCrop>false</ScaleCrop>
  <LinksUpToDate>false</LinksUpToDate>
  <CharactersWithSpaces>21274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2020-03-13T10:48:00Z</dcterms:created>
  <dc:creator>langlf</dc:creator>
  <cp:lastModifiedBy>刘某某</cp:lastModifiedBy>
  <cp:lastPrinted>2023-03-22T18:43:00Z</cp:lastPrinted>
  <dcterms:modified xsi:type="dcterms:W3CDTF">2023-03-24T07:45:27Z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46ACDCA99E3B46AD825796C4503AE599_13</vt:lpwstr>
  </property>
</Properties>
</file>