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1" w:name="_GoBack"/>
      <w:bookmarkEnd w:id="1"/>
    </w:p>
    <w:p>
      <w:pPr>
        <w:spacing w:line="60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第二批国家高端装备制造业标准化试点考核结果清单</w:t>
      </w:r>
    </w:p>
    <w:tbl>
      <w:tblPr>
        <w:tblStyle w:val="1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209"/>
        <w:gridCol w:w="4999"/>
        <w:gridCol w:w="3329"/>
        <w:gridCol w:w="2121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tblHeader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bookmarkStart w:id="0" w:name="_Hlk112253589"/>
            <w:r>
              <w:rPr>
                <w:rFonts w:hint="eastAsia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试点项目名称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承担单位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所属领域</w:t>
            </w:r>
          </w:p>
        </w:tc>
        <w:tc>
          <w:tcPr>
            <w:tcW w:w="1515" w:type="dxa"/>
          </w:tcPr>
          <w:p>
            <w:pPr>
              <w:ind w:firstLine="0" w:firstLineChars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  <w:lang w:eastAsia="zh-Hans"/>
              </w:rPr>
              <w:t>北京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中国航天电子技术研究院高端装备制造业（高端装备）标准化试点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中国航天电子技术研究院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高端装备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  <w:lang w:eastAsia="zh-Hans"/>
              </w:rPr>
              <w:t>北京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中国船舶工业综合技术经济研究院高端装备制造业（高技术船舶）标准化试点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中国船舶工业综合技术经济研究院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船舶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  <w:lang w:eastAsia="zh-Hans"/>
              </w:rPr>
              <w:t>北京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遨博（北京）智能科技有限公司高端装备制造业（协作式机器人）标准化试点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遨博（北京）智能科技有限公司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机器人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  <w:lang w:eastAsia="zh-Hans"/>
              </w:rPr>
              <w:t>河北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中车唐山机车车辆有限公司高端装备制造业（轨道交通装备）标准化试点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中车唐山机车车辆有限公司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轨道交通装备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</w:rPr>
              <w:t>山西</w:t>
            </w: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山西转型综改示范区高端装备制造业（高端装备）标准化试点</w:t>
            </w:r>
          </w:p>
        </w:tc>
        <w:tc>
          <w:tcPr>
            <w:tcW w:w="3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山西转型综改示范区管理委员会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高端装备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</w:rPr>
              <w:t>山西</w:t>
            </w: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太原重工股份有限公司高端装备制造业（重型机械）标准化试点</w:t>
            </w:r>
          </w:p>
        </w:tc>
        <w:tc>
          <w:tcPr>
            <w:tcW w:w="3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太原重工股份有限公司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重型机械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</w:rPr>
              <w:t>辽宁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沈阳鼓风机集团高端装备制造业（通用机械）标准化试点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沈阳鼓风机集团股份有限公司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通用机械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</w:rPr>
              <w:t>辽宁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沈阳新松机器人自动化股份有限公司高端装备制造业（机器人）标准化试点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沈阳新松机器人自动化股份有限公司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机器人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</w:rPr>
              <w:t>辽宁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大连冷冻机股份有限公司高端装备制造业（通用机械）标准化试点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大连冷冻机股份有限公司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通用机械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黑龙江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哈尔滨哈飞工业有限责任公司（冶金装备）标准化试点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哈尔滨哈飞工业有限责任公司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冶金装备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上海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上海航天信息研究所高端装备制造业（高端装备）标准化试点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上海航天信息研究所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高端装备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</w:rPr>
              <w:t>江苏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江苏徐州经济技术开发区高端装备制造业（工程机械）标准化试点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徐州经济技术开发区管理委员会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工程机械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</w:rPr>
              <w:t>江苏</w:t>
            </w:r>
          </w:p>
        </w:tc>
        <w:tc>
          <w:tcPr>
            <w:tcW w:w="49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江苏戚墅堰轨道交通产业园高端装备制造业（轨道交通装备）标准化试点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江苏戚墅堰轨道交通产业园管理委员会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轨道交通装备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</w:rPr>
              <w:t>江苏</w:t>
            </w:r>
          </w:p>
        </w:tc>
        <w:tc>
          <w:tcPr>
            <w:tcW w:w="49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江苏扬州高新技术产业开发区高端装备制造业（智能制造）标准化试点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扬州高新技术产业开发区管理委员会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智能制造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</w:rPr>
              <w:t>江苏</w:t>
            </w:r>
          </w:p>
        </w:tc>
        <w:tc>
          <w:tcPr>
            <w:tcW w:w="49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江苏太仓高新技术产业开发区高端装备制造业（智能制造）标准化试点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江苏省太仓高新技术产业开发区管理委员会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智能制造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</w:rPr>
              <w:t>江苏</w:t>
            </w:r>
          </w:p>
        </w:tc>
        <w:tc>
          <w:tcPr>
            <w:tcW w:w="49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江苏大全凯帆开关有限公司高端装备制造业（电工装备）标准化试点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江苏大全凯帆开关有限公司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电工装备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</w:rPr>
              <w:t>江苏</w:t>
            </w:r>
          </w:p>
        </w:tc>
        <w:tc>
          <w:tcPr>
            <w:tcW w:w="49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苏州环球科技股份有限公司高端装备制造业（基础零部件）标准化试点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苏州环球科技股份有限公司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基础零部件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</w:rPr>
              <w:t>浙江</w:t>
            </w:r>
          </w:p>
        </w:tc>
        <w:tc>
          <w:tcPr>
            <w:tcW w:w="49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浙江长兴经济技术开发区高端装备制造业（高端装备）标准化试点</w:t>
            </w:r>
          </w:p>
        </w:tc>
        <w:tc>
          <w:tcPr>
            <w:tcW w:w="3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长兴经济技术开发区管理委员会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高端装备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</w:rPr>
              <w:t>浙江</w:t>
            </w:r>
          </w:p>
        </w:tc>
        <w:tc>
          <w:tcPr>
            <w:tcW w:w="49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浙江湖州南浔区高端装备制造业（特种设备）标准化试点</w:t>
            </w:r>
          </w:p>
        </w:tc>
        <w:tc>
          <w:tcPr>
            <w:tcW w:w="3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湖州市南浔区人民政府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特种设备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安徽</w:t>
            </w:r>
          </w:p>
        </w:tc>
        <w:tc>
          <w:tcPr>
            <w:tcW w:w="49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安徽阜阳界首高新技术产业开发区高端装备制造业标准化试点</w:t>
            </w:r>
          </w:p>
        </w:tc>
        <w:tc>
          <w:tcPr>
            <w:tcW w:w="3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阜阳界首高新技术产业开发区管理委员会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农机装备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江西</w:t>
            </w:r>
          </w:p>
        </w:tc>
        <w:tc>
          <w:tcPr>
            <w:tcW w:w="49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中国直升机设计研究所高端装备制造业标准化试点</w:t>
            </w:r>
          </w:p>
        </w:tc>
        <w:tc>
          <w:tcPr>
            <w:tcW w:w="3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中国直升机设计研究所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航空装备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hint="eastAsia" w:eastAsia="仿宋_GB2312"/>
                <w:sz w:val="28"/>
                <w:szCs w:val="28"/>
                <w:lang w:eastAsia="zh-Hans"/>
              </w:rPr>
              <w:t>山东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山东潍坊高新技术产业开发区高端装备制造业标准化试点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潍坊高新技术产业开发区管委会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内燃机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Hans"/>
              </w:rPr>
              <w:t>山东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山东德州高新技术产业开发区高端装备制造业标准化试点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德州高新技术产业开发区管理委员会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高端装备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Hans"/>
              </w:rPr>
              <w:t>山东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济南二机床集团有限公司高端装备制造业标准化试点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济南二机床集团有限公司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数控机床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Hans"/>
              </w:rPr>
              <w:t>山东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山东泰开高压开关有限公司高端装备制造业标准化试点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山东泰开高压开关有限公司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电工装备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Hans"/>
              </w:rPr>
              <w:t>河南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平高集团有限公司高端装备制造业（电工装备）标准化试点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平高集团有限公司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电工装备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湖北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湖北襄阳高新技术产业开发区高端装备制造（新能源汽车）标准化试点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襄阳高新技术产业开发区管委会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新能源汽车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湖北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湖北迪峰船舶技术有限公司高端装备制造业标准化试点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湖北迪峰船舶技术有限公司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船舶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湖南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中国铁建重工集团有限公司高端装备制造业（工程机械）标准化试点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中国铁建重工集团有限公司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工程机械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广东广州黄埔区高端装备制造业标准化试点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广州市黄埔区人民政府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智能制造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</w:t>
            </w:r>
          </w:p>
        </w:tc>
        <w:tc>
          <w:tcPr>
            <w:tcW w:w="491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珠海格力智能装备有限公司高端装备制造业标准化试点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珠海格力智能装备有限公司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智能制造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</w:t>
            </w:r>
          </w:p>
        </w:tc>
        <w:tc>
          <w:tcPr>
            <w:tcW w:w="49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明阳智慧能源集团股份公司高端装备制造业标准化试点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明阳智慧能源集团股份公司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风电装备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</w:t>
            </w:r>
          </w:p>
        </w:tc>
        <w:tc>
          <w:tcPr>
            <w:tcW w:w="49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中国国际海运集装箱集团股份有限公司高端装备制造业标准化试点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中国国际海运集装箱（集团）股份有限公司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港口机械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四川</w:t>
            </w:r>
          </w:p>
        </w:tc>
        <w:tc>
          <w:tcPr>
            <w:tcW w:w="49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四川德阳经济技术开发区高端装备制造业（能源装备）标准化试点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德阳经济技术开发区管理委员会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能源装备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贵州</w:t>
            </w:r>
          </w:p>
        </w:tc>
        <w:tc>
          <w:tcPr>
            <w:tcW w:w="49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贵州钢绳股份有限公司高端装备制造业标准化试点</w:t>
            </w:r>
          </w:p>
        </w:tc>
        <w:tc>
          <w:tcPr>
            <w:tcW w:w="3276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贵州钢绳股份有限公司</w:t>
            </w:r>
          </w:p>
        </w:tc>
        <w:tc>
          <w:tcPr>
            <w:tcW w:w="2087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冶金装备</w:t>
            </w:r>
          </w:p>
        </w:tc>
        <w:tc>
          <w:tcPr>
            <w:tcW w:w="1515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陕西</w:t>
            </w:r>
          </w:p>
        </w:tc>
        <w:tc>
          <w:tcPr>
            <w:tcW w:w="49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陕西汽车集团有限责任公司高端装备制造业（智能网联汽车）标准化试点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陕西汽车集团有限责任公司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汽车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甘肃</w:t>
            </w:r>
          </w:p>
        </w:tc>
        <w:tc>
          <w:tcPr>
            <w:tcW w:w="49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甘肃蓝科石化高新装备股份有限公司高端装备制造业标准化试点</w:t>
            </w:r>
          </w:p>
        </w:tc>
        <w:tc>
          <w:tcPr>
            <w:tcW w:w="3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甘肃蓝科石化高新装备股份有限公司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通用机械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3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新疆</w:t>
            </w:r>
          </w:p>
        </w:tc>
        <w:tc>
          <w:tcPr>
            <w:tcW w:w="49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新疆金风科技股份有限公司高端装备制造业（风电装备）标准化试点</w:t>
            </w:r>
          </w:p>
        </w:tc>
        <w:tc>
          <w:tcPr>
            <w:tcW w:w="3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新疆金风科技股份有限公司</w:t>
            </w:r>
          </w:p>
        </w:tc>
        <w:tc>
          <w:tcPr>
            <w:tcW w:w="2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风电装备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合格</w:t>
            </w:r>
          </w:p>
        </w:tc>
      </w:tr>
      <w:bookmarkEnd w:id="0"/>
    </w:tbl>
    <w:p>
      <w:pPr>
        <w:spacing w:line="600" w:lineRule="exact"/>
        <w:ind w:firstLine="404" w:firstLineChars="0"/>
        <w:rPr>
          <w:rFonts w:eastAsia="仿宋_GB2312"/>
          <w:sz w:val="28"/>
          <w:szCs w:val="28"/>
        </w:rPr>
      </w:pPr>
    </w:p>
    <w:p>
      <w:pPr>
        <w:widowControl/>
        <w:shd w:val="clear" w:color="auto" w:fill="FFFFFF"/>
        <w:tabs>
          <w:tab w:val="left" w:pos="6804"/>
          <w:tab w:val="left" w:pos="6946"/>
          <w:tab w:val="left" w:pos="7513"/>
          <w:tab w:val="left" w:pos="7655"/>
          <w:tab w:val="left" w:pos="7938"/>
        </w:tabs>
        <w:spacing w:line="600" w:lineRule="exact"/>
        <w:ind w:right="2184" w:firstLine="0" w:firstLineChars="0"/>
        <w:jc w:val="left"/>
        <w:rPr>
          <w:rFonts w:eastAsia="仿宋_GB2312"/>
          <w:snapToGrid w:val="0"/>
          <w:kern w:val="0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984" w:right="1474" w:bottom="1644" w:left="1474" w:header="851" w:footer="1191" w:gutter="0"/>
      <w:cols w:space="425" w:num="1"/>
      <w:docGrid w:type="linesAndChars" w:linePitch="286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06"/>
      </w:pPr>
      <w:r>
        <w:separator/>
      </w:r>
    </w:p>
  </w:endnote>
  <w:endnote w:type="continuationSeparator" w:id="1">
    <w:p>
      <w:pPr>
        <w:spacing w:line="240" w:lineRule="auto"/>
        <w:ind w:firstLine="40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iti SC Light">
    <w:altName w:val="仿宋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ind w:firstLine="560"/>
      <w:jc w:val="right"/>
      <w:rPr>
        <w:rFonts w:ascii="宋体" w:hAnsi="宋体"/>
      </w:rPr>
    </w:pPr>
    <w:r>
      <w:rPr>
        <w:rStyle w:val="21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2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21"/>
        <w:rFonts w:ascii="宋体" w:hAnsi="宋体"/>
        <w:sz w:val="28"/>
        <w:szCs w:val="28"/>
      </w:rPr>
      <w:t>17</w:t>
    </w:r>
    <w:r>
      <w:rPr>
        <w:rFonts w:ascii="宋体" w:hAnsi="宋体"/>
        <w:sz w:val="28"/>
        <w:szCs w:val="28"/>
      </w:rPr>
      <w:fldChar w:fldCharType="end"/>
    </w:r>
    <w:r>
      <w:rPr>
        <w:rStyle w:val="21"/>
        <w:rFonts w:hint="eastAsia" w:ascii="宋体" w:hAnsi="宋体"/>
        <w:sz w:val="28"/>
        <w:szCs w:val="28"/>
      </w:rPr>
      <w:t xml:space="preserve"> - </w:t>
    </w:r>
    <w:r>
      <w:rPr>
        <w:rStyle w:val="21"/>
        <w:rFonts w:ascii="宋体" w:hAnsi="宋体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6438409"/>
    </w:sdtPr>
    <w:sdtEndPr>
      <w:rPr>
        <w:rFonts w:ascii="宋体" w:hAnsi="宋体"/>
        <w:sz w:val="28"/>
        <w:szCs w:val="28"/>
      </w:rPr>
    </w:sdtEndPr>
    <w:sdtContent>
      <w:p>
        <w:pPr>
          <w:pStyle w:val="11"/>
          <w:ind w:firstLine="360"/>
          <w:rPr>
            <w:rFonts w:ascii="宋体" w:hAnsi="宋体"/>
            <w:sz w:val="28"/>
            <w:szCs w:val="28"/>
          </w:rPr>
        </w:pPr>
        <w:r>
          <w:rPr>
            <w:rStyle w:val="21"/>
            <w:rFonts w:hint="eastAsia" w:ascii="宋体" w:hAnsi="宋体"/>
            <w:sz w:val="28"/>
            <w:szCs w:val="28"/>
          </w:rPr>
          <w:t xml:space="preserve">-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Style w:val="21"/>
            <w:rFonts w:hint="eastAsia" w:ascii="宋体" w:hAnsi="宋体"/>
            <w:sz w:val="28"/>
            <w:szCs w:val="28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06"/>
      </w:pPr>
      <w:r>
        <w:separator/>
      </w:r>
    </w:p>
  </w:footnote>
  <w:footnote w:type="continuationSeparator" w:id="1">
    <w:p>
      <w:pPr>
        <w:spacing w:line="240" w:lineRule="auto"/>
        <w:ind w:firstLine="40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710A2"/>
    <w:multiLevelType w:val="multilevel"/>
    <w:tmpl w:val="0C5710A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1"/>
  <w:drawingGridVerticalSpacing w:val="220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2Yjk0ZTAxYjYxMGFmN2RmNzNkZGJlMjAyY2U0NGUifQ=="/>
  </w:docVars>
  <w:rsids>
    <w:rsidRoot w:val="008F5484"/>
    <w:rsid w:val="000F3C8C"/>
    <w:rsid w:val="00100F71"/>
    <w:rsid w:val="0016457E"/>
    <w:rsid w:val="001974C7"/>
    <w:rsid w:val="001D4C68"/>
    <w:rsid w:val="00206EFE"/>
    <w:rsid w:val="00256803"/>
    <w:rsid w:val="00262F22"/>
    <w:rsid w:val="0026464C"/>
    <w:rsid w:val="002958B3"/>
    <w:rsid w:val="002B56B0"/>
    <w:rsid w:val="00324766"/>
    <w:rsid w:val="003D2853"/>
    <w:rsid w:val="003E4B06"/>
    <w:rsid w:val="00411797"/>
    <w:rsid w:val="00440C73"/>
    <w:rsid w:val="004443E1"/>
    <w:rsid w:val="00463AD4"/>
    <w:rsid w:val="004C0F1A"/>
    <w:rsid w:val="00556965"/>
    <w:rsid w:val="00583559"/>
    <w:rsid w:val="005B25BB"/>
    <w:rsid w:val="005F1BEF"/>
    <w:rsid w:val="00640552"/>
    <w:rsid w:val="00691F61"/>
    <w:rsid w:val="006C1AAE"/>
    <w:rsid w:val="00710A95"/>
    <w:rsid w:val="007543D9"/>
    <w:rsid w:val="007A02B4"/>
    <w:rsid w:val="007B0AE7"/>
    <w:rsid w:val="007C7EF9"/>
    <w:rsid w:val="0081143D"/>
    <w:rsid w:val="00826FAC"/>
    <w:rsid w:val="00862BA7"/>
    <w:rsid w:val="008973D5"/>
    <w:rsid w:val="00897F15"/>
    <w:rsid w:val="008A449B"/>
    <w:rsid w:val="008E3F26"/>
    <w:rsid w:val="008F5484"/>
    <w:rsid w:val="00910F61"/>
    <w:rsid w:val="00922D17"/>
    <w:rsid w:val="0093476C"/>
    <w:rsid w:val="00A838CB"/>
    <w:rsid w:val="00AC0E85"/>
    <w:rsid w:val="00AC370F"/>
    <w:rsid w:val="00B27474"/>
    <w:rsid w:val="00BD0C61"/>
    <w:rsid w:val="00CB336D"/>
    <w:rsid w:val="00CD2C85"/>
    <w:rsid w:val="00CF2938"/>
    <w:rsid w:val="00D323F6"/>
    <w:rsid w:val="00D62036"/>
    <w:rsid w:val="00D85196"/>
    <w:rsid w:val="00D94ACC"/>
    <w:rsid w:val="00DA7A97"/>
    <w:rsid w:val="00DB1102"/>
    <w:rsid w:val="00DB707D"/>
    <w:rsid w:val="00DD117D"/>
    <w:rsid w:val="00EA3895"/>
    <w:rsid w:val="00ED764C"/>
    <w:rsid w:val="00ED7D5A"/>
    <w:rsid w:val="00EE4E42"/>
    <w:rsid w:val="00F11001"/>
    <w:rsid w:val="00F46FB6"/>
    <w:rsid w:val="00F71067"/>
    <w:rsid w:val="00FA027C"/>
    <w:rsid w:val="3D203C50"/>
    <w:rsid w:val="3E643F4C"/>
    <w:rsid w:val="54D47B64"/>
    <w:rsid w:val="5DCA3518"/>
    <w:rsid w:val="616C7377"/>
    <w:rsid w:val="6C647B27"/>
    <w:rsid w:val="7C00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4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9"/>
    <w:pPr>
      <w:keepNext/>
      <w:keepLines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40"/>
    <w:unhideWhenUsed/>
    <w:qFormat/>
    <w:uiPriority w:val="9"/>
    <w:pPr>
      <w:keepNext/>
      <w:keepLines/>
      <w:outlineLvl w:val="1"/>
    </w:pPr>
    <w:rPr>
      <w:rFonts w:ascii="方正黑体简体" w:hAnsi="Cambria" w:eastAsia="方正黑体简体"/>
      <w:bCs/>
      <w:sz w:val="32"/>
      <w:szCs w:val="32"/>
    </w:rPr>
  </w:style>
  <w:style w:type="paragraph" w:styleId="4">
    <w:name w:val="heading 3"/>
    <w:basedOn w:val="1"/>
    <w:next w:val="1"/>
    <w:link w:val="44"/>
    <w:unhideWhenUsed/>
    <w:qFormat/>
    <w:uiPriority w:val="9"/>
    <w:pPr>
      <w:keepNext/>
      <w:keepLines/>
      <w:outlineLvl w:val="2"/>
    </w:pPr>
    <w:rPr>
      <w:rFonts w:eastAsia="楷体_GB2312"/>
      <w:bCs/>
      <w:sz w:val="32"/>
      <w:szCs w:val="32"/>
    </w:rPr>
  </w:style>
  <w:style w:type="paragraph" w:styleId="5">
    <w:name w:val="heading 4"/>
    <w:basedOn w:val="1"/>
    <w:next w:val="1"/>
    <w:link w:val="45"/>
    <w:unhideWhenUsed/>
    <w:qFormat/>
    <w:uiPriority w:val="9"/>
    <w:pPr>
      <w:keepNext/>
      <w:keepLines/>
      <w:outlineLvl w:val="3"/>
    </w:pPr>
    <w:rPr>
      <w:rFonts w:ascii="Cambria" w:hAnsi="Cambria" w:eastAsia="方正仿宋简体"/>
      <w:b/>
      <w:bCs/>
      <w:sz w:val="32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46"/>
    <w:unhideWhenUsed/>
    <w:qFormat/>
    <w:uiPriority w:val="99"/>
    <w:rPr>
      <w:rFonts w:ascii="宋体"/>
      <w:sz w:val="18"/>
      <w:szCs w:val="18"/>
    </w:rPr>
  </w:style>
  <w:style w:type="paragraph" w:styleId="7">
    <w:name w:val="annotation text"/>
    <w:basedOn w:val="1"/>
    <w:link w:val="37"/>
    <w:unhideWhenUsed/>
    <w:qFormat/>
    <w:uiPriority w:val="99"/>
    <w:pPr>
      <w:jc w:val="left"/>
    </w:pPr>
  </w:style>
  <w:style w:type="paragraph" w:styleId="8">
    <w:name w:val="Plain Text"/>
    <w:basedOn w:val="1"/>
    <w:link w:val="27"/>
    <w:qFormat/>
    <w:uiPriority w:val="0"/>
    <w:rPr>
      <w:rFonts w:ascii="宋体" w:hAnsi="Courier New" w:cs="仿宋_GB2312"/>
      <w:szCs w:val="21"/>
    </w:rPr>
  </w:style>
  <w:style w:type="paragraph" w:styleId="9">
    <w:name w:val="Date"/>
    <w:basedOn w:val="1"/>
    <w:next w:val="1"/>
    <w:link w:val="43"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36"/>
    <w:unhideWhenUsed/>
    <w:qFormat/>
    <w:uiPriority w:val="99"/>
    <w:rPr>
      <w:rFonts w:ascii="Heiti SC Light" w:eastAsia="Heiti SC Light"/>
      <w:sz w:val="18"/>
      <w:szCs w:val="18"/>
    </w:rPr>
  </w:style>
  <w:style w:type="paragraph" w:styleId="11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12">
    <w:name w:val="header"/>
    <w:basedOn w:val="1"/>
    <w:link w:val="2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3">
    <w:name w:val="Subtitle"/>
    <w:basedOn w:val="1"/>
    <w:next w:val="1"/>
    <w:link w:val="42"/>
    <w:qFormat/>
    <w:uiPriority w:val="11"/>
    <w:pPr>
      <w:jc w:val="left"/>
      <w:outlineLvl w:val="1"/>
    </w:pPr>
    <w:rPr>
      <w:rFonts w:ascii="方正仿宋简体" w:hAnsi="Cambria" w:eastAsia="方正仿宋简体"/>
      <w:b/>
      <w:bCs/>
      <w:kern w:val="28"/>
      <w:sz w:val="32"/>
      <w:szCs w:val="32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5">
    <w:name w:val="Title"/>
    <w:basedOn w:val="1"/>
    <w:next w:val="1"/>
    <w:link w:val="41"/>
    <w:qFormat/>
    <w:uiPriority w:val="10"/>
    <w:pPr>
      <w:jc w:val="left"/>
      <w:outlineLvl w:val="0"/>
    </w:pPr>
    <w:rPr>
      <w:rFonts w:ascii="方正楷体简体" w:hAnsi="Cambria" w:eastAsia="方正楷体简体"/>
      <w:b/>
      <w:bCs/>
      <w:sz w:val="32"/>
      <w:szCs w:val="32"/>
    </w:rPr>
  </w:style>
  <w:style w:type="paragraph" w:styleId="16">
    <w:name w:val="annotation subject"/>
    <w:basedOn w:val="7"/>
    <w:next w:val="7"/>
    <w:link w:val="38"/>
    <w:unhideWhenUsed/>
    <w:qFormat/>
    <w:uiPriority w:val="99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22"/>
    <w:rPr>
      <w:b/>
    </w:rPr>
  </w:style>
  <w:style w:type="character" w:styleId="21">
    <w:name w:val="page number"/>
    <w:basedOn w:val="19"/>
    <w:qFormat/>
    <w:uiPriority w:val="0"/>
  </w:style>
  <w:style w:type="character" w:styleId="22">
    <w:name w:val="Emphasis"/>
    <w:basedOn w:val="19"/>
    <w:qFormat/>
    <w:uiPriority w:val="20"/>
    <w:rPr>
      <w:i/>
      <w:iCs/>
    </w:rPr>
  </w:style>
  <w:style w:type="character" w:styleId="23">
    <w:name w:val="Hyperlink"/>
    <w:basedOn w:val="19"/>
    <w:unhideWhenUsed/>
    <w:qFormat/>
    <w:uiPriority w:val="99"/>
    <w:rPr>
      <w:color w:val="0000FF"/>
      <w:u w:val="single"/>
    </w:rPr>
  </w:style>
  <w:style w:type="character" w:styleId="24">
    <w:name w:val="annotation reference"/>
    <w:unhideWhenUsed/>
    <w:qFormat/>
    <w:uiPriority w:val="99"/>
    <w:rPr>
      <w:sz w:val="21"/>
      <w:szCs w:val="21"/>
    </w:rPr>
  </w:style>
  <w:style w:type="character" w:customStyle="1" w:styleId="25">
    <w:name w:val="页眉 字符"/>
    <w:link w:val="12"/>
    <w:qFormat/>
    <w:uiPriority w:val="99"/>
    <w:rPr>
      <w:sz w:val="18"/>
      <w:szCs w:val="18"/>
    </w:rPr>
  </w:style>
  <w:style w:type="character" w:customStyle="1" w:styleId="26">
    <w:name w:val="页脚 字符"/>
    <w:link w:val="11"/>
    <w:qFormat/>
    <w:uiPriority w:val="99"/>
    <w:rPr>
      <w:sz w:val="18"/>
      <w:szCs w:val="18"/>
    </w:rPr>
  </w:style>
  <w:style w:type="character" w:customStyle="1" w:styleId="27">
    <w:name w:val="纯文本 字符"/>
    <w:link w:val="8"/>
    <w:qFormat/>
    <w:uiPriority w:val="0"/>
    <w:rPr>
      <w:rFonts w:ascii="宋体" w:hAnsi="Courier New" w:eastAsia="宋体" w:cs="仿宋_GB2312"/>
      <w:szCs w:val="21"/>
    </w:rPr>
  </w:style>
  <w:style w:type="character" w:customStyle="1" w:styleId="28">
    <w:name w:val="正文文本_"/>
    <w:link w:val="29"/>
    <w:qFormat/>
    <w:uiPriority w:val="0"/>
    <w:rPr>
      <w:rFonts w:ascii="黑体" w:hAnsi="黑体" w:eastAsia="黑体" w:cs="黑体"/>
      <w:spacing w:val="30"/>
      <w:sz w:val="29"/>
      <w:szCs w:val="29"/>
      <w:shd w:val="clear" w:color="auto" w:fill="FFFFFF"/>
    </w:rPr>
  </w:style>
  <w:style w:type="paragraph" w:customStyle="1" w:styleId="29">
    <w:name w:val="正文文本1"/>
    <w:basedOn w:val="1"/>
    <w:link w:val="28"/>
    <w:qFormat/>
    <w:uiPriority w:val="0"/>
    <w:pPr>
      <w:shd w:val="clear" w:color="auto" w:fill="FFFFFF"/>
      <w:spacing w:before="1200" w:after="1200" w:line="0" w:lineRule="atLeast"/>
      <w:jc w:val="left"/>
    </w:pPr>
    <w:rPr>
      <w:rFonts w:ascii="黑体" w:hAnsi="黑体" w:eastAsia="黑体" w:cs="黑体"/>
      <w:spacing w:val="30"/>
      <w:sz w:val="29"/>
      <w:szCs w:val="29"/>
    </w:rPr>
  </w:style>
  <w:style w:type="character" w:customStyle="1" w:styleId="30">
    <w:name w:val="正文文本 + Batang"/>
    <w:qFormat/>
    <w:uiPriority w:val="0"/>
    <w:rPr>
      <w:rFonts w:ascii="Batang" w:hAnsi="Batang" w:eastAsia="Batang" w:cs="Batang"/>
      <w:color w:val="000000"/>
      <w:spacing w:val="-10"/>
      <w:w w:val="100"/>
      <w:position w:val="0"/>
      <w:sz w:val="27"/>
      <w:szCs w:val="27"/>
      <w:shd w:val="clear" w:color="auto" w:fill="FFFFFF"/>
      <w:lang w:val="zh-TW"/>
    </w:rPr>
  </w:style>
  <w:style w:type="character" w:customStyle="1" w:styleId="31">
    <w:name w:val="正文文本 (2)_"/>
    <w:link w:val="32"/>
    <w:qFormat/>
    <w:uiPriority w:val="0"/>
    <w:rPr>
      <w:rFonts w:ascii="黑体" w:hAnsi="黑体" w:eastAsia="黑体" w:cs="黑体"/>
      <w:b/>
      <w:bCs/>
      <w:spacing w:val="30"/>
      <w:sz w:val="30"/>
      <w:szCs w:val="30"/>
      <w:shd w:val="clear" w:color="auto" w:fill="FFFFFF"/>
    </w:rPr>
  </w:style>
  <w:style w:type="paragraph" w:customStyle="1" w:styleId="32">
    <w:name w:val="正文文本 (2)"/>
    <w:basedOn w:val="1"/>
    <w:link w:val="31"/>
    <w:qFormat/>
    <w:uiPriority w:val="0"/>
    <w:pPr>
      <w:shd w:val="clear" w:color="auto" w:fill="FFFFFF"/>
      <w:spacing w:before="840" w:line="590" w:lineRule="exact"/>
      <w:jc w:val="left"/>
    </w:pPr>
    <w:rPr>
      <w:rFonts w:ascii="黑体" w:hAnsi="黑体" w:eastAsia="黑体" w:cs="黑体"/>
      <w:b/>
      <w:bCs/>
      <w:spacing w:val="30"/>
      <w:sz w:val="30"/>
      <w:szCs w:val="30"/>
    </w:rPr>
  </w:style>
  <w:style w:type="character" w:customStyle="1" w:styleId="33">
    <w:name w:val="正文文本 + 15 pt"/>
    <w:qFormat/>
    <w:uiPriority w:val="0"/>
    <w:rPr>
      <w:rFonts w:ascii="黑体" w:hAnsi="黑体" w:eastAsia="黑体" w:cs="黑体"/>
      <w:b/>
      <w:bCs/>
      <w:color w:val="000000"/>
      <w:spacing w:val="30"/>
      <w:w w:val="100"/>
      <w:position w:val="0"/>
      <w:sz w:val="30"/>
      <w:szCs w:val="30"/>
      <w:shd w:val="clear" w:color="auto" w:fill="FFFFFF"/>
      <w:lang w:val="zh-TW"/>
    </w:rPr>
  </w:style>
  <w:style w:type="character" w:customStyle="1" w:styleId="34">
    <w:name w:val="正文文本 + 间距 3 pt"/>
    <w:qFormat/>
    <w:uiPriority w:val="0"/>
    <w:rPr>
      <w:rFonts w:ascii="黑体" w:hAnsi="黑体" w:eastAsia="黑体" w:cs="黑体"/>
      <w:color w:val="000000"/>
      <w:spacing w:val="70"/>
      <w:w w:val="100"/>
      <w:position w:val="0"/>
      <w:sz w:val="29"/>
      <w:szCs w:val="29"/>
      <w:u w:val="none"/>
      <w:shd w:val="clear" w:color="auto" w:fill="FFFFFF"/>
      <w:lang w:val="zh-TW"/>
    </w:rPr>
  </w:style>
  <w:style w:type="character" w:customStyle="1" w:styleId="35">
    <w:name w:val="正文文本 + 间距 0 pt"/>
    <w:qFormat/>
    <w:uiPriority w:val="0"/>
    <w:rPr>
      <w:rFonts w:ascii="黑体" w:hAnsi="黑体" w:eastAsia="黑体" w:cs="黑体"/>
      <w:color w:val="000000"/>
      <w:spacing w:val="0"/>
      <w:w w:val="100"/>
      <w:position w:val="0"/>
      <w:sz w:val="29"/>
      <w:szCs w:val="29"/>
      <w:u w:val="none"/>
      <w:shd w:val="clear" w:color="auto" w:fill="FFFFFF"/>
      <w:lang w:val="zh-TW"/>
    </w:rPr>
  </w:style>
  <w:style w:type="character" w:customStyle="1" w:styleId="36">
    <w:name w:val="批注框文本 字符"/>
    <w:link w:val="10"/>
    <w:semiHidden/>
    <w:qFormat/>
    <w:uiPriority w:val="99"/>
    <w:rPr>
      <w:rFonts w:ascii="Heiti SC Light" w:hAnsi="Times New Roman" w:eastAsia="Heiti SC Light" w:cs="Times New Roman"/>
      <w:sz w:val="18"/>
      <w:szCs w:val="18"/>
    </w:rPr>
  </w:style>
  <w:style w:type="character" w:customStyle="1" w:styleId="37">
    <w:name w:val="批注文字 字符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8">
    <w:name w:val="批注主题 字符"/>
    <w:link w:val="1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9">
    <w:name w:val="标题 1 字符"/>
    <w:link w:val="2"/>
    <w:qFormat/>
    <w:uiPriority w:val="9"/>
    <w:rPr>
      <w:rFonts w:ascii="方正小标宋简体" w:hAnsi="Times New Roman" w:eastAsia="方正小标宋简体"/>
      <w:bCs/>
      <w:kern w:val="44"/>
      <w:sz w:val="44"/>
      <w:szCs w:val="44"/>
    </w:rPr>
  </w:style>
  <w:style w:type="character" w:customStyle="1" w:styleId="40">
    <w:name w:val="标题 2 字符"/>
    <w:link w:val="3"/>
    <w:qFormat/>
    <w:uiPriority w:val="9"/>
    <w:rPr>
      <w:rFonts w:ascii="方正黑体简体" w:hAnsi="Cambria" w:eastAsia="方正黑体简体"/>
      <w:bCs/>
      <w:kern w:val="2"/>
      <w:sz w:val="32"/>
      <w:szCs w:val="32"/>
    </w:rPr>
  </w:style>
  <w:style w:type="character" w:customStyle="1" w:styleId="41">
    <w:name w:val="标题 字符"/>
    <w:link w:val="15"/>
    <w:qFormat/>
    <w:uiPriority w:val="10"/>
    <w:rPr>
      <w:rFonts w:ascii="方正楷体简体" w:hAnsi="Cambria" w:eastAsia="方正楷体简体"/>
      <w:b/>
      <w:bCs/>
      <w:kern w:val="2"/>
      <w:sz w:val="32"/>
      <w:szCs w:val="32"/>
    </w:rPr>
  </w:style>
  <w:style w:type="character" w:customStyle="1" w:styleId="42">
    <w:name w:val="副标题 字符"/>
    <w:link w:val="13"/>
    <w:qFormat/>
    <w:uiPriority w:val="11"/>
    <w:rPr>
      <w:rFonts w:ascii="方正仿宋简体" w:hAnsi="Cambria" w:eastAsia="方正仿宋简体"/>
      <w:b/>
      <w:bCs/>
      <w:kern w:val="28"/>
      <w:sz w:val="32"/>
      <w:szCs w:val="32"/>
    </w:rPr>
  </w:style>
  <w:style w:type="character" w:customStyle="1" w:styleId="43">
    <w:name w:val="日期 字符"/>
    <w:link w:val="9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44">
    <w:name w:val="标题 3 字符"/>
    <w:link w:val="4"/>
    <w:semiHidden/>
    <w:qFormat/>
    <w:uiPriority w:val="9"/>
    <w:rPr>
      <w:rFonts w:ascii="Times New Roman" w:hAnsi="Times New Roman" w:eastAsia="楷体_GB2312"/>
      <w:bCs/>
      <w:kern w:val="2"/>
      <w:sz w:val="32"/>
      <w:szCs w:val="32"/>
    </w:rPr>
  </w:style>
  <w:style w:type="character" w:customStyle="1" w:styleId="45">
    <w:name w:val="标题 4 字符"/>
    <w:link w:val="5"/>
    <w:semiHidden/>
    <w:qFormat/>
    <w:uiPriority w:val="9"/>
    <w:rPr>
      <w:rFonts w:ascii="Cambria" w:hAnsi="Cambria" w:eastAsia="方正仿宋简体" w:cs="Times New Roman"/>
      <w:b/>
      <w:bCs/>
      <w:kern w:val="2"/>
      <w:sz w:val="32"/>
      <w:szCs w:val="28"/>
    </w:rPr>
  </w:style>
  <w:style w:type="character" w:customStyle="1" w:styleId="46">
    <w:name w:val="文档结构图 字符"/>
    <w:link w:val="6"/>
    <w:semiHidden/>
    <w:qFormat/>
    <w:uiPriority w:val="99"/>
    <w:rPr>
      <w:rFonts w:ascii="宋体" w:hAnsi="Times New Roman"/>
      <w:kern w:val="2"/>
      <w:sz w:val="18"/>
      <w:szCs w:val="18"/>
    </w:rPr>
  </w:style>
  <w:style w:type="paragraph" w:customStyle="1" w:styleId="47">
    <w:name w:val="u正文"/>
    <w:basedOn w:val="1"/>
    <w:qFormat/>
    <w:uiPriority w:val="0"/>
    <w:pPr>
      <w:spacing w:beforeLines="10" w:line="312" w:lineRule="auto"/>
    </w:pPr>
    <w:rPr>
      <w:sz w:val="24"/>
      <w:szCs w:val="20"/>
    </w:rPr>
  </w:style>
  <w:style w:type="paragraph" w:customStyle="1" w:styleId="48">
    <w:name w:val="列表段落1"/>
    <w:basedOn w:val="1"/>
    <w:qFormat/>
    <w:uiPriority w:val="34"/>
    <w:pPr>
      <w:spacing w:line="240" w:lineRule="auto"/>
      <w:ind w:firstLine="420"/>
    </w:pPr>
    <w:rPr>
      <w:rFonts w:asciiTheme="minorHAnsi" w:hAnsiTheme="minorHAnsi" w:eastAsiaTheme="minorEastAsia" w:cstheme="minorBidi"/>
      <w:szCs w:val="22"/>
    </w:rPr>
  </w:style>
  <w:style w:type="paragraph" w:customStyle="1" w:styleId="4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50">
    <w:name w:val="网格型1"/>
    <w:basedOn w:val="17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1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324</Words>
  <Characters>1850</Characters>
  <Lines>15</Lines>
  <Paragraphs>4</Paragraphs>
  <TotalTime>0</TotalTime>
  <ScaleCrop>false</ScaleCrop>
  <LinksUpToDate>false</LinksUpToDate>
  <CharactersWithSpaces>2170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2023-06-12T02:59:00Z</dcterms:created>
  <dc:creator>BO</dc:creator>
  <cp:lastModifiedBy>修订</cp:lastModifiedBy>
  <cp:lastPrinted>2023-04-27T11:10:00Z</cp:lastPrinted>
  <dcterms:modified xsi:type="dcterms:W3CDTF">2023-06-12T07:15:41Z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8498D3D4D72540149F73B8DEA9E77C05_13</vt:lpwstr>
  </property>
</Properties>
</file>