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outlineLvl w:val="0"/>
        <w:rPr>
          <w:rFonts w:ascii="黑体" w:hAnsi="黑体" w:eastAsia="黑体" w:cs="黑体"/>
          <w:sz w:val="32"/>
          <w:szCs w:val="32"/>
        </w:rPr>
      </w:pPr>
      <w:r>
        <w:rPr>
          <w:rFonts w:hint="eastAsia" w:ascii="黑体" w:hAnsi="黑体" w:eastAsia="黑体" w:cs="黑体"/>
          <w:sz w:val="32"/>
          <w:szCs w:val="32"/>
        </w:rPr>
        <w:t>附件2</w:t>
      </w:r>
    </w:p>
    <w:p>
      <w:pPr>
        <w:widowControl/>
        <w:spacing w:line="594" w:lineRule="exact"/>
        <w:jc w:val="center"/>
        <w:outlineLvl w:val="0"/>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2023年全国专业标准化技术委员会考核评估指标体系</w:t>
      </w:r>
    </w:p>
    <w:bookmarkEnd w:id="0"/>
    <w:tbl>
      <w:tblPr>
        <w:tblStyle w:val="4"/>
        <w:tblW w:w="1392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271"/>
        <w:gridCol w:w="1241"/>
        <w:gridCol w:w="3900"/>
        <w:gridCol w:w="3519"/>
        <w:gridCol w:w="31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ind w:left="-105" w:leftChars="-50" w:right="-105" w:rightChars="-50"/>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ind w:left="-105" w:leftChars="-50" w:right="-105" w:rightChars="-50"/>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指标</w:t>
            </w:r>
          </w:p>
          <w:p>
            <w:pPr>
              <w:widowControl/>
              <w:spacing w:after="0" w:line="360" w:lineRule="exact"/>
              <w:ind w:left="-105" w:leftChars="-50" w:right="-105" w:rightChars="-50"/>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类型</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ind w:left="-53" w:leftChars="-25" w:right="-53" w:rightChars="-25"/>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考核指标</w:t>
            </w:r>
          </w:p>
        </w:tc>
        <w:tc>
          <w:tcPr>
            <w:tcW w:w="390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ind w:left="-53" w:leftChars="-25" w:right="-53" w:rightChars="-25"/>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Ⅰ档要求</w:t>
            </w:r>
          </w:p>
        </w:tc>
        <w:tc>
          <w:tcPr>
            <w:tcW w:w="3519"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ind w:left="-53" w:leftChars="-25" w:right="-53" w:rightChars="-25"/>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Ⅱ档要求</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ind w:left="-53" w:leftChars="-25" w:right="-53" w:rightChars="-25"/>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Ⅲ档要求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817" w:type="dxa"/>
            <w:tcBorders>
              <w:top w:val="single" w:color="auto" w:sz="4" w:space="0"/>
            </w:tcBorders>
            <w:vAlign w:val="center"/>
          </w:tcPr>
          <w:p>
            <w:pPr>
              <w:widowControl/>
              <w:spacing w:after="0" w:line="320" w:lineRule="exact"/>
              <w:ind w:left="-105" w:leftChars="-50" w:right="-105" w:rightChars="-5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271" w:type="dxa"/>
            <w:vMerge w:val="restart"/>
            <w:tcBorders>
              <w:top w:val="single" w:color="auto" w:sz="4" w:space="0"/>
            </w:tcBorders>
            <w:vAlign w:val="center"/>
          </w:tcPr>
          <w:p>
            <w:pPr>
              <w:spacing w:after="0" w:line="320" w:lineRule="exact"/>
              <w:ind w:left="-105" w:leftChars="-50" w:right="-105" w:rightChars="-5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约束性指标</w:t>
            </w:r>
          </w:p>
        </w:tc>
        <w:tc>
          <w:tcPr>
            <w:tcW w:w="1241" w:type="dxa"/>
            <w:tcBorders>
              <w:top w:val="single" w:color="auto" w:sz="4" w:space="0"/>
            </w:tcBorders>
            <w:vAlign w:val="center"/>
          </w:tcPr>
          <w:p>
            <w:pPr>
              <w:widowControl/>
              <w:spacing w:after="0" w:line="320" w:lineRule="exact"/>
              <w:ind w:left="-53" w:leftChars="-25" w:right="-53" w:rightChars="-25"/>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项目完成率</w:t>
            </w:r>
          </w:p>
        </w:tc>
        <w:tc>
          <w:tcPr>
            <w:tcW w:w="3900" w:type="dxa"/>
            <w:tcBorders>
              <w:top w:val="single" w:color="auto" w:sz="4" w:space="0"/>
            </w:tcBorders>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1.考核期内，国标立项数累计不少于5项（含修订）；2.项目完成率≥90%。</w:t>
            </w:r>
          </w:p>
        </w:tc>
        <w:tc>
          <w:tcPr>
            <w:tcW w:w="3519" w:type="dxa"/>
            <w:tcBorders>
              <w:top w:val="single" w:color="auto" w:sz="4" w:space="0"/>
            </w:tcBorders>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1.考核期内，国标立项数累计不少于5项（含修订）；2.项目完成率≥80%。</w:t>
            </w:r>
          </w:p>
        </w:tc>
        <w:tc>
          <w:tcPr>
            <w:tcW w:w="3178" w:type="dxa"/>
            <w:tcBorders>
              <w:top w:val="single" w:color="auto" w:sz="4" w:space="0"/>
            </w:tcBorders>
            <w:vAlign w:val="center"/>
          </w:tcPr>
          <w:p>
            <w:pPr>
              <w:widowControl/>
              <w:spacing w:after="0" w:line="320" w:lineRule="exact"/>
              <w:ind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1.考核期内，国标立项数累计不少于1项（含修订）；2.项目完成率≥67%。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817" w:type="dxa"/>
            <w:vAlign w:val="center"/>
          </w:tcPr>
          <w:p>
            <w:pPr>
              <w:widowControl/>
              <w:spacing w:after="0" w:line="320" w:lineRule="exact"/>
              <w:ind w:left="-105" w:leftChars="-50" w:right="-105" w:rightChars="-5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271" w:type="dxa"/>
            <w:vMerge w:val="continue"/>
            <w:vAlign w:val="center"/>
          </w:tcPr>
          <w:p>
            <w:pPr>
              <w:widowControl/>
              <w:spacing w:after="0" w:line="320" w:lineRule="exact"/>
              <w:ind w:left="-105" w:leftChars="-50" w:right="-105" w:rightChars="-50"/>
              <w:jc w:val="left"/>
              <w:rPr>
                <w:rFonts w:ascii="仿宋_GB2312" w:hAnsi="仿宋_GB2312" w:eastAsia="仿宋_GB2312" w:cs="仿宋_GB2312"/>
                <w:kern w:val="0"/>
                <w:szCs w:val="21"/>
              </w:rPr>
            </w:pPr>
          </w:p>
        </w:tc>
        <w:tc>
          <w:tcPr>
            <w:tcW w:w="1241" w:type="dxa"/>
            <w:vAlign w:val="center"/>
          </w:tcPr>
          <w:p>
            <w:pPr>
              <w:widowControl/>
              <w:spacing w:after="0" w:line="320" w:lineRule="exact"/>
              <w:ind w:left="-53" w:leftChars="-25" w:right="-53" w:rightChars="-25"/>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退稿率</w:t>
            </w:r>
          </w:p>
        </w:tc>
        <w:tc>
          <w:tcPr>
            <w:tcW w:w="3900" w:type="dxa"/>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报批标准退稿率≤3%。</w:t>
            </w:r>
          </w:p>
        </w:tc>
        <w:tc>
          <w:tcPr>
            <w:tcW w:w="3519" w:type="dxa"/>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报批标准退稿率≤10%。</w:t>
            </w:r>
          </w:p>
        </w:tc>
        <w:tc>
          <w:tcPr>
            <w:tcW w:w="3178" w:type="dxa"/>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报批标准退稿率≤20%。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817" w:type="dxa"/>
            <w:vAlign w:val="center"/>
          </w:tcPr>
          <w:p>
            <w:pPr>
              <w:widowControl/>
              <w:spacing w:after="0" w:line="320" w:lineRule="exact"/>
              <w:ind w:left="-105" w:leftChars="-50" w:right="-105" w:rightChars="-5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271" w:type="dxa"/>
            <w:vMerge w:val="restart"/>
            <w:vAlign w:val="center"/>
          </w:tcPr>
          <w:p>
            <w:pPr>
              <w:widowControl/>
              <w:spacing w:after="0" w:line="320" w:lineRule="exact"/>
              <w:ind w:left="-105" w:leftChars="-50" w:right="-105" w:rightChars="-50"/>
              <w:jc w:val="center"/>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r>
              <w:rPr>
                <w:rFonts w:hint="eastAsia" w:ascii="仿宋_GB2312" w:hAnsi="仿宋_GB2312" w:eastAsia="仿宋_GB2312" w:cs="仿宋_GB2312"/>
                <w:kern w:val="0"/>
                <w:szCs w:val="21"/>
              </w:rPr>
              <w:t>一般性指标</w:t>
            </w: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p>
            <w:pPr>
              <w:pStyle w:val="2"/>
              <w:rPr>
                <w:rFonts w:ascii="仿宋_GB2312" w:hAnsi="仿宋_GB2312" w:eastAsia="仿宋_GB2312" w:cs="仿宋_GB2312"/>
                <w:kern w:val="0"/>
                <w:szCs w:val="21"/>
              </w:rPr>
            </w:pPr>
          </w:p>
        </w:tc>
        <w:tc>
          <w:tcPr>
            <w:tcW w:w="1241" w:type="dxa"/>
            <w:vAlign w:val="center"/>
          </w:tcPr>
          <w:p>
            <w:pPr>
              <w:widowControl/>
              <w:spacing w:after="0" w:line="320" w:lineRule="exact"/>
              <w:ind w:left="-53" w:leftChars="-25" w:right="-53" w:rightChars="-25"/>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标准体系建设和维护情况</w:t>
            </w:r>
          </w:p>
        </w:tc>
        <w:tc>
          <w:tcPr>
            <w:tcW w:w="3900" w:type="dxa"/>
            <w:vAlign w:val="center"/>
          </w:tcPr>
          <w:p>
            <w:pPr>
              <w:widowControl/>
              <w:spacing w:after="0" w:line="320" w:lineRule="exact"/>
              <w:ind w:left="-53" w:leftChars="-25" w:right="-53" w:rightChars="-25"/>
              <w:jc w:val="both"/>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在满足</w:t>
            </w:r>
            <w:r>
              <w:rPr>
                <w:rFonts w:hint="eastAsia" w:ascii="仿宋_GB2312" w:hAnsi="仿宋_GB2312" w:eastAsia="仿宋_GB2312" w:cs="仿宋_GB2312"/>
                <w:kern w:val="0"/>
                <w:szCs w:val="21"/>
              </w:rPr>
              <w:t>Ⅱ</w:t>
            </w:r>
            <w:r>
              <w:rPr>
                <w:rFonts w:hint="eastAsia" w:ascii="仿宋_GB2312" w:hAnsi="仿宋_GB2312" w:eastAsia="仿宋_GB2312" w:cs="仿宋_GB2312"/>
                <w:kern w:val="0"/>
                <w:szCs w:val="21"/>
                <w:lang w:val="en-US" w:eastAsia="zh-CN"/>
              </w:rPr>
              <w:t>档要求基础上，能统筹各层级标准，与产业链上下游及交叉融合领域的标准体系衔接配套。</w:t>
            </w:r>
          </w:p>
        </w:tc>
        <w:tc>
          <w:tcPr>
            <w:tcW w:w="3519" w:type="dxa"/>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经技术委员会审查通过，建立并维护领域标准体系，根据需求和标准变化情况及时修改标准体系框图和明细表。</w:t>
            </w:r>
          </w:p>
        </w:tc>
        <w:tc>
          <w:tcPr>
            <w:tcW w:w="3178" w:type="dxa"/>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经技术委员会审查通过，建立基本覆盖业务范围的标准体系，能够反映该领域标准需求。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817" w:type="dxa"/>
            <w:vAlign w:val="center"/>
          </w:tcPr>
          <w:p>
            <w:pPr>
              <w:widowControl/>
              <w:spacing w:after="0" w:line="320" w:lineRule="exact"/>
              <w:ind w:left="-105" w:leftChars="-50" w:right="-105" w:rightChars="-50"/>
              <w:jc w:val="center"/>
              <w:rPr>
                <w:rFonts w:ascii="仿宋_GB2312" w:hAnsi="仿宋_GB2312" w:eastAsia="仿宋_GB2312" w:cs="仿宋_GB2312"/>
                <w:color w:val="ED7D31" w:themeColor="accent2"/>
                <w:kern w:val="0"/>
                <w:szCs w:val="21"/>
                <w14:textFill>
                  <w14:solidFill>
                    <w14:schemeClr w14:val="accent2"/>
                  </w14:solidFill>
                </w14:textFill>
              </w:rPr>
            </w:pPr>
            <w:r>
              <w:rPr>
                <w:rFonts w:hint="eastAsia" w:ascii="仿宋_GB2312" w:hAnsi="仿宋_GB2312" w:eastAsia="仿宋_GB2312" w:cs="仿宋_GB2312"/>
                <w:color w:val="auto"/>
                <w:kern w:val="0"/>
                <w:szCs w:val="21"/>
              </w:rPr>
              <w:t>4</w:t>
            </w:r>
          </w:p>
        </w:tc>
        <w:tc>
          <w:tcPr>
            <w:tcW w:w="1271" w:type="dxa"/>
            <w:vMerge w:val="continue"/>
            <w:vAlign w:val="center"/>
          </w:tcPr>
          <w:p>
            <w:pPr>
              <w:widowControl/>
              <w:spacing w:after="0" w:line="320" w:lineRule="exact"/>
              <w:ind w:left="-105" w:leftChars="-50" w:right="-105" w:rightChars="-50"/>
              <w:jc w:val="center"/>
              <w:rPr>
                <w:rFonts w:ascii="仿宋_GB2312" w:hAnsi="仿宋_GB2312" w:eastAsia="仿宋_GB2312" w:cs="仿宋_GB2312"/>
                <w:color w:val="ED7D31" w:themeColor="accent2"/>
                <w:kern w:val="0"/>
                <w:szCs w:val="21"/>
                <w14:textFill>
                  <w14:solidFill>
                    <w14:schemeClr w14:val="accent2"/>
                  </w14:solidFill>
                </w14:textFill>
              </w:rPr>
            </w:pPr>
          </w:p>
        </w:tc>
        <w:tc>
          <w:tcPr>
            <w:tcW w:w="1241" w:type="dxa"/>
            <w:vAlign w:val="center"/>
          </w:tcPr>
          <w:p>
            <w:pPr>
              <w:widowControl/>
              <w:spacing w:after="0" w:line="320" w:lineRule="exact"/>
              <w:ind w:left="-53" w:leftChars="-25" w:right="-53" w:rightChars="-25"/>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标准制修订过程</w:t>
            </w:r>
          </w:p>
        </w:tc>
        <w:tc>
          <w:tcPr>
            <w:tcW w:w="3900" w:type="dxa"/>
            <w:vAlign w:val="center"/>
          </w:tcPr>
          <w:p>
            <w:pPr>
              <w:widowControl/>
              <w:spacing w:after="0" w:line="320" w:lineRule="exact"/>
              <w:ind w:left="-53" w:leftChars="-25" w:right="-53" w:rightChars="-25"/>
              <w:jc w:val="both"/>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在满足</w:t>
            </w:r>
            <w:r>
              <w:rPr>
                <w:rFonts w:hint="eastAsia" w:ascii="仿宋_GB2312" w:hAnsi="仿宋_GB2312" w:eastAsia="仿宋_GB2312" w:cs="仿宋_GB2312"/>
                <w:kern w:val="0"/>
                <w:szCs w:val="21"/>
              </w:rPr>
              <w:t>Ⅱ</w:t>
            </w:r>
            <w:r>
              <w:rPr>
                <w:rFonts w:hint="eastAsia" w:ascii="仿宋_GB2312" w:hAnsi="仿宋_GB2312" w:eastAsia="仿宋_GB2312" w:cs="仿宋_GB2312"/>
                <w:kern w:val="0"/>
                <w:szCs w:val="21"/>
                <w:lang w:val="en-US" w:eastAsia="zh-CN"/>
              </w:rPr>
              <w:t>档要求基础上，</w:t>
            </w:r>
            <w:r>
              <w:rPr>
                <w:rFonts w:hint="eastAsia" w:ascii="仿宋_GB2312" w:hAnsi="仿宋_GB2312" w:eastAsia="仿宋_GB2312" w:cs="仿宋_GB2312"/>
                <w:kern w:val="0"/>
                <w:szCs w:val="21"/>
              </w:rPr>
              <w:t>公开</w:t>
            </w:r>
            <w:r>
              <w:rPr>
                <w:rFonts w:hint="eastAsia" w:ascii="仿宋_GB2312" w:hAnsi="仿宋_GB2312" w:eastAsia="仿宋_GB2312" w:cs="仿宋_GB2312"/>
                <w:kern w:val="0"/>
                <w:szCs w:val="21"/>
                <w:lang w:eastAsia="zh-CN"/>
              </w:rPr>
              <w:t>或面向委员开展</w:t>
            </w:r>
            <w:r>
              <w:rPr>
                <w:rFonts w:hint="eastAsia" w:ascii="仿宋_GB2312" w:hAnsi="仿宋_GB2312" w:eastAsia="仿宋_GB2312" w:cs="仿宋_GB2312"/>
                <w:kern w:val="0"/>
                <w:szCs w:val="21"/>
              </w:rPr>
              <w:t>国家标准立项需求</w:t>
            </w:r>
            <w:r>
              <w:rPr>
                <w:rFonts w:hint="eastAsia" w:ascii="仿宋_GB2312" w:hAnsi="仿宋_GB2312" w:eastAsia="仿宋_GB2312" w:cs="仿宋_GB2312"/>
                <w:kern w:val="0"/>
                <w:szCs w:val="21"/>
                <w:lang w:eastAsia="zh-CN"/>
              </w:rPr>
              <w:t>征集工作</w:t>
            </w:r>
            <w:r>
              <w:rPr>
                <w:rFonts w:hint="eastAsia" w:ascii="仿宋_GB2312" w:hAnsi="仿宋_GB2312" w:eastAsia="仿宋_GB2312" w:cs="仿宋_GB2312"/>
                <w:kern w:val="0"/>
                <w:szCs w:val="21"/>
              </w:rPr>
              <w:t>，并在技术委员会内部组织全体委员对立项需求进行讨论研究</w:t>
            </w:r>
            <w:r>
              <w:rPr>
                <w:rFonts w:hint="eastAsia" w:ascii="仿宋_GB2312" w:hAnsi="仿宋_GB2312" w:eastAsia="仿宋_GB2312" w:cs="仿宋_GB2312"/>
                <w:kern w:val="0"/>
                <w:szCs w:val="21"/>
                <w:lang w:eastAsia="zh-CN"/>
              </w:rPr>
              <w:t>。</w:t>
            </w:r>
          </w:p>
        </w:tc>
        <w:tc>
          <w:tcPr>
            <w:tcW w:w="3519" w:type="dxa"/>
            <w:vAlign w:val="center"/>
          </w:tcPr>
          <w:p>
            <w:pPr>
              <w:widowControl/>
              <w:spacing w:after="0" w:line="320" w:lineRule="exact"/>
              <w:ind w:left="-53" w:leftChars="-25" w:right="-53" w:rightChars="-25"/>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1.委员联名提案和社会提案及时处理，处理率达到85%以上，处理结果及时反馈；2.按规定要求定向及面向社会公开征求意见；3.按规定时间要求组织开展标准复审工作，复审率≥80%。</w:t>
            </w:r>
          </w:p>
        </w:tc>
        <w:tc>
          <w:tcPr>
            <w:tcW w:w="3178" w:type="dxa"/>
            <w:vAlign w:val="center"/>
          </w:tcPr>
          <w:p>
            <w:pPr>
              <w:widowControl/>
              <w:spacing w:after="0" w:line="320" w:lineRule="exact"/>
              <w:ind w:left="-53" w:leftChars="-25" w:right="-53" w:rightChars="-25"/>
              <w:jc w:val="both"/>
              <w:rPr>
                <w:rFonts w:hint="eastAsia"/>
              </w:rPr>
            </w:pPr>
            <w:r>
              <w:rPr>
                <w:rFonts w:hint="eastAsia" w:ascii="仿宋_GB2312" w:hAnsi="仿宋_GB2312" w:eastAsia="仿宋_GB2312" w:cs="仿宋_GB2312"/>
                <w:kern w:val="0"/>
                <w:szCs w:val="21"/>
              </w:rPr>
              <w:t>1.委员联名提案和社会提案及时处理，处理率达到75%以上，处理结果及时反馈；2.按规定要求定向及面向社会公开征求意见；3.按规定时间要求组织开展标准复审工作，复审率≥67%。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817" w:type="dxa"/>
            <w:vAlign w:val="center"/>
          </w:tcPr>
          <w:p>
            <w:pPr>
              <w:widowControl/>
              <w:spacing w:after="0" w:line="320" w:lineRule="exact"/>
              <w:ind w:left="-105" w:leftChars="-50" w:right="-105" w:rightChars="-5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271" w:type="dxa"/>
            <w:vMerge w:val="continue"/>
            <w:vAlign w:val="center"/>
          </w:tcPr>
          <w:p>
            <w:pPr>
              <w:widowControl/>
              <w:spacing w:after="0" w:line="320" w:lineRule="exact"/>
              <w:ind w:left="-105" w:leftChars="-50" w:right="-105" w:rightChars="-50"/>
              <w:jc w:val="center"/>
              <w:rPr>
                <w:rFonts w:ascii="仿宋_GB2312" w:hAnsi="仿宋_GB2312" w:eastAsia="仿宋_GB2312" w:cs="仿宋_GB2312"/>
                <w:kern w:val="0"/>
                <w:szCs w:val="21"/>
              </w:rPr>
            </w:pPr>
          </w:p>
        </w:tc>
        <w:tc>
          <w:tcPr>
            <w:tcW w:w="1241" w:type="dxa"/>
            <w:vAlign w:val="center"/>
          </w:tcPr>
          <w:p>
            <w:pPr>
              <w:widowControl/>
              <w:spacing w:after="0" w:line="320" w:lineRule="exact"/>
              <w:ind w:left="-53" w:leftChars="-25" w:right="-53" w:rightChars="-25"/>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标准实施</w:t>
            </w:r>
          </w:p>
        </w:tc>
        <w:tc>
          <w:tcPr>
            <w:tcW w:w="3900" w:type="dxa"/>
            <w:vAlign w:val="center"/>
          </w:tcPr>
          <w:p>
            <w:pPr>
              <w:widowControl/>
              <w:spacing w:after="0" w:line="320" w:lineRule="exact"/>
              <w:ind w:left="-53" w:leftChars="-25" w:right="-53" w:rightChars="-25"/>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在满足</w:t>
            </w:r>
            <w:r>
              <w:rPr>
                <w:rFonts w:hint="eastAsia" w:ascii="仿宋_GB2312" w:hAnsi="仿宋_GB2312" w:eastAsia="仿宋_GB2312" w:cs="仿宋_GB2312"/>
                <w:kern w:val="0"/>
                <w:szCs w:val="21"/>
              </w:rPr>
              <w:t>Ⅱ</w:t>
            </w:r>
            <w:r>
              <w:rPr>
                <w:rFonts w:hint="eastAsia" w:ascii="仿宋_GB2312" w:hAnsi="仿宋_GB2312" w:eastAsia="仿宋_GB2312" w:cs="仿宋_GB2312"/>
                <w:kern w:val="0"/>
                <w:szCs w:val="21"/>
                <w:lang w:val="en-US" w:eastAsia="zh-CN"/>
              </w:rPr>
              <w:t>档要求基础上，满足</w:t>
            </w:r>
            <w:r>
              <w:rPr>
                <w:rFonts w:hint="eastAsia" w:ascii="仿宋_GB2312" w:hAnsi="仿宋_GB2312" w:eastAsia="仿宋_GB2312" w:cs="仿宋_GB2312"/>
                <w:kern w:val="0"/>
                <w:szCs w:val="21"/>
              </w:rPr>
              <w:t>以下</w:t>
            </w:r>
            <w:r>
              <w:rPr>
                <w:rFonts w:hint="eastAsia" w:ascii="仿宋_GB2312" w:hAnsi="仿宋_GB2312" w:eastAsia="仿宋_GB2312" w:cs="仿宋_GB2312"/>
                <w:kern w:val="0"/>
                <w:szCs w:val="21"/>
                <w:lang w:val="en-US" w:eastAsia="zh-CN"/>
              </w:rPr>
              <w:t>方面</w:t>
            </w:r>
            <w:r>
              <w:rPr>
                <w:rFonts w:hint="eastAsia" w:ascii="仿宋_GB2312" w:hAnsi="仿宋_GB2312" w:eastAsia="仿宋_GB2312" w:cs="仿宋_GB2312"/>
                <w:kern w:val="0"/>
                <w:szCs w:val="21"/>
              </w:rPr>
              <w:t>中</w:t>
            </w:r>
            <w:r>
              <w:rPr>
                <w:rFonts w:hint="eastAsia" w:ascii="仿宋_GB2312" w:hAnsi="仿宋_GB2312" w:eastAsia="仿宋_GB2312" w:cs="仿宋_GB2312"/>
                <w:kern w:val="0"/>
                <w:szCs w:val="21"/>
                <w:lang w:val="en-US" w:eastAsia="zh-CN"/>
              </w:rPr>
              <w:t>的</w:t>
            </w:r>
            <w:r>
              <w:rPr>
                <w:rFonts w:hint="eastAsia" w:ascii="仿宋_GB2312" w:hAnsi="仿宋_GB2312" w:eastAsia="仿宋_GB2312" w:cs="仿宋_GB2312"/>
                <w:kern w:val="0"/>
                <w:szCs w:val="21"/>
              </w:rPr>
              <w:t>一项：1.</w:t>
            </w:r>
            <w:r>
              <w:rPr>
                <w:rFonts w:hint="eastAsia" w:ascii="仿宋_GB2312" w:hAnsi="仿宋_GB2312" w:eastAsia="仿宋_GB2312" w:cs="仿宋_GB2312"/>
                <w:kern w:val="0"/>
                <w:szCs w:val="21"/>
                <w:lang w:eastAsia="zh-CN"/>
              </w:rPr>
              <w:t>积极主动对接行业部门、产业聚集区，加大标准应用推广和实施指导；</w:t>
            </w:r>
            <w:r>
              <w:rPr>
                <w:rFonts w:hint="eastAsia" w:ascii="仿宋_GB2312" w:hAnsi="仿宋_GB2312" w:eastAsia="仿宋_GB2312" w:cs="仿宋_GB2312"/>
                <w:kern w:val="0"/>
                <w:szCs w:val="21"/>
              </w:rPr>
              <w:t>2.标准实施后获得省部级（含相当层次）以上奖励的</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 xml:space="preserve">3.标准实施后被法律、法规、规章或政策引用的。 </w:t>
            </w:r>
          </w:p>
        </w:tc>
        <w:tc>
          <w:tcPr>
            <w:tcW w:w="3519" w:type="dxa"/>
            <w:vAlign w:val="center"/>
          </w:tcPr>
          <w:p>
            <w:pPr>
              <w:widowControl/>
              <w:spacing w:after="0" w:line="320" w:lineRule="exact"/>
              <w:ind w:left="-53" w:leftChars="-25" w:right="-53" w:rightChars="-25"/>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1.通过国家标准实施信息反馈平台、主动调研等方式收集并及时处理标准实施信息；</w:t>
            </w:r>
            <w:r>
              <w:rPr>
                <w:rFonts w:hint="eastAsia" w:ascii="仿宋_GB2312" w:hAnsi="仿宋_GB2312" w:eastAsia="仿宋_GB2312" w:cs="仿宋_GB2312"/>
                <w:kern w:val="0"/>
                <w:szCs w:val="21"/>
                <w:lang w:val="en-US" w:eastAsia="zh-CN"/>
              </w:rPr>
              <w:t>2</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val="en-US" w:eastAsia="uk-UA"/>
              </w:rPr>
              <w:t>开展对重点标准实施情况的</w:t>
            </w:r>
            <w:r>
              <w:rPr>
                <w:rFonts w:hint="eastAsia" w:ascii="仿宋_GB2312" w:hAnsi="仿宋_GB2312" w:eastAsia="仿宋_GB2312" w:cs="仿宋_GB2312"/>
                <w:kern w:val="0"/>
                <w:szCs w:val="21"/>
                <w:lang w:val="en-US" w:eastAsia="zh-CN"/>
              </w:rPr>
              <w:t>评估</w:t>
            </w:r>
            <w:r>
              <w:rPr>
                <w:rFonts w:hint="eastAsia" w:ascii="仿宋_GB2312" w:hAnsi="仿宋_GB2312" w:eastAsia="仿宋_GB2312" w:cs="仿宋_GB2312"/>
                <w:kern w:val="0"/>
                <w:szCs w:val="21"/>
                <w:lang w:val="en-US" w:eastAsia="uk-UA"/>
              </w:rPr>
              <w:t>分析并形成报告。</w:t>
            </w:r>
          </w:p>
        </w:tc>
        <w:tc>
          <w:tcPr>
            <w:tcW w:w="3178" w:type="dxa"/>
            <w:vAlign w:val="center"/>
          </w:tcPr>
          <w:p>
            <w:pPr>
              <w:widowControl/>
              <w:spacing w:after="0" w:line="320" w:lineRule="exact"/>
              <w:ind w:left="-53" w:leftChars="-25" w:right="-53" w:rightChars="-25"/>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通过国家标准实施信息反馈平台、主动调研等方式收集并及时处理标准实施信息。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817" w:type="dxa"/>
            <w:vAlign w:val="center"/>
          </w:tcPr>
          <w:p>
            <w:pPr>
              <w:widowControl/>
              <w:spacing w:after="0" w:line="320" w:lineRule="exact"/>
              <w:ind w:left="-105" w:leftChars="-50" w:right="-105" w:rightChars="-5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271" w:type="dxa"/>
            <w:vMerge w:val="continue"/>
            <w:vAlign w:val="center"/>
          </w:tcPr>
          <w:p>
            <w:pPr>
              <w:widowControl/>
              <w:spacing w:after="0" w:line="320" w:lineRule="exact"/>
              <w:ind w:left="-105" w:leftChars="-50" w:right="-105" w:rightChars="-50"/>
              <w:jc w:val="center"/>
              <w:rPr>
                <w:rFonts w:ascii="仿宋_GB2312" w:hAnsi="仿宋_GB2312" w:eastAsia="仿宋_GB2312" w:cs="仿宋_GB2312"/>
                <w:kern w:val="0"/>
                <w:szCs w:val="21"/>
              </w:rPr>
            </w:pPr>
          </w:p>
        </w:tc>
        <w:tc>
          <w:tcPr>
            <w:tcW w:w="1241" w:type="dxa"/>
            <w:vAlign w:val="center"/>
          </w:tcPr>
          <w:p>
            <w:pPr>
              <w:widowControl/>
              <w:spacing w:after="0" w:line="320" w:lineRule="exact"/>
              <w:ind w:left="-53" w:leftChars="-25" w:right="-53" w:rightChars="-25"/>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标准宣贯</w:t>
            </w:r>
            <w:r>
              <w:rPr>
                <w:rFonts w:ascii="微软雅黑" w:hAnsi="微软雅黑" w:eastAsia="微软雅黑" w:cs="微软雅黑"/>
                <w:i w:val="0"/>
                <w:iCs w:val="0"/>
                <w:caps w:val="0"/>
                <w:color w:val="333333"/>
                <w:spacing w:val="0"/>
                <w:sz w:val="24"/>
                <w:szCs w:val="24"/>
              </w:rPr>
              <w:t>*</w:t>
            </w:r>
          </w:p>
        </w:tc>
        <w:tc>
          <w:tcPr>
            <w:tcW w:w="3900" w:type="dxa"/>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1.标准发布或实施后产生较大社会影响，获得中央媒体宣传报道</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lang w:eastAsia="zh-CN"/>
              </w:rPr>
              <w:t>累计在</w:t>
            </w:r>
            <w:r>
              <w:rPr>
                <w:rFonts w:hint="eastAsia" w:ascii="仿宋_GB2312" w:hAnsi="仿宋_GB2312" w:eastAsia="仿宋_GB2312" w:cs="仿宋_GB2312"/>
                <w:kern w:val="0"/>
                <w:sz w:val="21"/>
                <w:szCs w:val="21"/>
                <w:lang w:val="en-US" w:eastAsia="uk-UA"/>
              </w:rPr>
              <w:t>标准云课</w:t>
            </w:r>
            <w:r>
              <w:rPr>
                <w:rFonts w:hint="eastAsia" w:ascii="仿宋_GB2312" w:hAnsi="仿宋_GB2312" w:eastAsia="仿宋_GB2312" w:cs="仿宋_GB2312"/>
                <w:kern w:val="0"/>
                <w:sz w:val="21"/>
                <w:szCs w:val="21"/>
                <w:lang w:val="en-US" w:eastAsia="zh-CN"/>
              </w:rPr>
              <w:t>中上传宣贯视频不少于2个；3.</w:t>
            </w:r>
            <w:r>
              <w:rPr>
                <w:rFonts w:hint="eastAsia" w:ascii="仿宋_GB2312" w:hAnsi="仿宋_GB2312" w:eastAsia="仿宋_GB2312" w:cs="仿宋_GB2312"/>
                <w:kern w:val="0"/>
                <w:szCs w:val="21"/>
              </w:rPr>
              <w:t>积极参与标准视频版、标准发布</w:t>
            </w:r>
            <w:r>
              <w:rPr>
                <w:rFonts w:hint="eastAsia" w:ascii="仿宋_GB2312" w:hAnsi="仿宋_GB2312" w:eastAsia="仿宋_GB2312" w:cs="仿宋_GB2312"/>
                <w:kern w:val="0"/>
                <w:szCs w:val="21"/>
                <w:lang w:eastAsia="zh-CN"/>
              </w:rPr>
              <w:t>、一图读懂、专家解读</w:t>
            </w:r>
            <w:r>
              <w:rPr>
                <w:rFonts w:hint="eastAsia" w:ascii="仿宋_GB2312" w:hAnsi="仿宋_GB2312" w:eastAsia="仿宋_GB2312" w:cs="仿宋_GB2312"/>
                <w:kern w:val="0"/>
                <w:szCs w:val="21"/>
              </w:rPr>
              <w:t>等宣传活动</w:t>
            </w:r>
            <w:r>
              <w:rPr>
                <w:rFonts w:hint="eastAsia" w:ascii="仿宋_GB2312" w:hAnsi="仿宋_GB2312" w:eastAsia="仿宋_GB2312" w:cs="仿宋_GB2312"/>
                <w:kern w:val="0"/>
                <w:sz w:val="21"/>
                <w:szCs w:val="21"/>
                <w:lang w:val="en-US" w:eastAsia="zh-CN"/>
              </w:rPr>
              <w:t>。</w:t>
            </w:r>
          </w:p>
        </w:tc>
        <w:tc>
          <w:tcPr>
            <w:tcW w:w="3519" w:type="dxa"/>
            <w:vAlign w:val="center"/>
          </w:tcPr>
          <w:p>
            <w:pPr>
              <w:widowControl/>
              <w:spacing w:after="0" w:line="320" w:lineRule="exact"/>
              <w:ind w:left="-53" w:leftChars="-25" w:right="-53" w:rightChars="-25"/>
              <w:jc w:val="both"/>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eastAsia="zh-CN"/>
              </w:rPr>
              <w:t>已录制并发布</w:t>
            </w:r>
            <w:r>
              <w:rPr>
                <w:rFonts w:hint="eastAsia" w:ascii="仿宋_GB2312" w:hAnsi="仿宋_GB2312" w:eastAsia="仿宋_GB2312" w:cs="仿宋_GB2312"/>
                <w:kern w:val="0"/>
                <w:szCs w:val="21"/>
                <w:lang w:eastAsia="uk-UA"/>
              </w:rPr>
              <w:t>标准云课</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2</w:t>
            </w:r>
            <w:r>
              <w:rPr>
                <w:rFonts w:hint="eastAsia" w:ascii="仿宋_GB2312" w:hAnsi="仿宋_GB2312" w:eastAsia="仿宋_GB2312" w:cs="仿宋_GB2312"/>
                <w:kern w:val="0"/>
                <w:szCs w:val="21"/>
              </w:rPr>
              <w:t>.积极参与标准视频版、标准发布</w:t>
            </w:r>
            <w:r>
              <w:rPr>
                <w:rFonts w:hint="eastAsia" w:ascii="仿宋_GB2312" w:hAnsi="仿宋_GB2312" w:eastAsia="仿宋_GB2312" w:cs="仿宋_GB2312"/>
                <w:kern w:val="0"/>
                <w:szCs w:val="21"/>
                <w:lang w:eastAsia="zh-CN"/>
              </w:rPr>
              <w:t>、一图读懂、专家解读</w:t>
            </w:r>
            <w:r>
              <w:rPr>
                <w:rFonts w:hint="eastAsia" w:ascii="仿宋_GB2312" w:hAnsi="仿宋_GB2312" w:eastAsia="仿宋_GB2312" w:cs="仿宋_GB2312"/>
                <w:kern w:val="0"/>
                <w:szCs w:val="21"/>
              </w:rPr>
              <w:t>等宣传活动</w:t>
            </w:r>
            <w:r>
              <w:rPr>
                <w:rFonts w:hint="eastAsia" w:ascii="仿宋_GB2312" w:hAnsi="仿宋_GB2312" w:eastAsia="仿宋_GB2312" w:cs="仿宋_GB2312"/>
                <w:kern w:val="0"/>
                <w:szCs w:val="21"/>
                <w:lang w:eastAsia="zh-CN"/>
              </w:rPr>
              <w:t>。</w:t>
            </w:r>
          </w:p>
        </w:tc>
        <w:tc>
          <w:tcPr>
            <w:tcW w:w="3178" w:type="dxa"/>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积极参与标准视频版、标准发布</w:t>
            </w:r>
            <w:r>
              <w:rPr>
                <w:rFonts w:hint="eastAsia" w:ascii="仿宋_GB2312" w:hAnsi="仿宋_GB2312" w:eastAsia="仿宋_GB2312" w:cs="仿宋_GB2312"/>
                <w:kern w:val="0"/>
                <w:szCs w:val="21"/>
                <w:lang w:eastAsia="zh-CN"/>
              </w:rPr>
              <w:t>、一图读懂、专家解读</w:t>
            </w:r>
            <w:r>
              <w:rPr>
                <w:rFonts w:hint="eastAsia" w:ascii="仿宋_GB2312" w:hAnsi="仿宋_GB2312" w:eastAsia="仿宋_GB2312" w:cs="仿宋_GB2312"/>
                <w:kern w:val="0"/>
                <w:szCs w:val="21"/>
              </w:rPr>
              <w:t>等宣传活动。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817" w:type="dxa"/>
            <w:vAlign w:val="center"/>
          </w:tcPr>
          <w:p>
            <w:pPr>
              <w:widowControl/>
              <w:spacing w:after="0" w:line="320" w:lineRule="exact"/>
              <w:ind w:left="-105" w:leftChars="-50" w:right="-105" w:rightChars="-5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1271" w:type="dxa"/>
            <w:vMerge w:val="continue"/>
            <w:vAlign w:val="center"/>
          </w:tcPr>
          <w:p>
            <w:pPr>
              <w:widowControl/>
              <w:spacing w:after="0" w:line="320" w:lineRule="exact"/>
              <w:ind w:left="-105" w:leftChars="-50" w:right="-105" w:rightChars="-50"/>
              <w:jc w:val="left"/>
              <w:rPr>
                <w:rFonts w:ascii="仿宋_GB2312" w:hAnsi="仿宋_GB2312" w:eastAsia="仿宋_GB2312" w:cs="仿宋_GB2312"/>
                <w:kern w:val="0"/>
                <w:szCs w:val="21"/>
              </w:rPr>
            </w:pPr>
          </w:p>
        </w:tc>
        <w:tc>
          <w:tcPr>
            <w:tcW w:w="1241" w:type="dxa"/>
            <w:vAlign w:val="center"/>
          </w:tcPr>
          <w:p>
            <w:pPr>
              <w:widowControl/>
              <w:spacing w:after="0" w:line="320" w:lineRule="exact"/>
              <w:ind w:left="-53" w:leftChars="-25" w:right="-53" w:rightChars="-25"/>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日常管理</w:t>
            </w:r>
          </w:p>
        </w:tc>
        <w:tc>
          <w:tcPr>
            <w:tcW w:w="3900" w:type="dxa"/>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1.按时报送年度报告，内容详实；2.每年召开年会，且有年会会议纪要；3.下设分会的，有相关管理制度，与下设分会定期联络，管理工作合规有效；4.按时开展换届工作；5.按时完成标准委安排的专项工作；6.规范使用技术委员会业务专用章。</w:t>
            </w:r>
          </w:p>
        </w:tc>
        <w:tc>
          <w:tcPr>
            <w:tcW w:w="3519" w:type="dxa"/>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1.按时报送年度报告，内容详实 ；2.每年召开年会，且有年会会议纪要；3.下设分会的，有相关管理制度，与下设分会定期联络，管理工作合规有效；4.按时开展换届工作；5.规范使用技术委员会业务专用章。</w:t>
            </w:r>
          </w:p>
        </w:tc>
        <w:tc>
          <w:tcPr>
            <w:tcW w:w="3178" w:type="dxa"/>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1.按时报送年度报告；2.定期召开年会，且有年会会议纪要；3.定期开展换届工作；4.规范使用技术委员会业务专用章。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817" w:type="dxa"/>
            <w:vAlign w:val="center"/>
          </w:tcPr>
          <w:p>
            <w:pPr>
              <w:widowControl/>
              <w:spacing w:after="0" w:line="320" w:lineRule="exact"/>
              <w:ind w:left="-105" w:leftChars="-50" w:right="-105" w:rightChars="-5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1271" w:type="dxa"/>
            <w:vMerge w:val="continue"/>
            <w:vAlign w:val="center"/>
          </w:tcPr>
          <w:p>
            <w:pPr>
              <w:widowControl/>
              <w:spacing w:after="0" w:line="320" w:lineRule="exact"/>
              <w:ind w:left="-105" w:leftChars="-50" w:right="-105" w:rightChars="-50"/>
              <w:jc w:val="left"/>
              <w:rPr>
                <w:rFonts w:ascii="仿宋_GB2312" w:hAnsi="仿宋_GB2312" w:eastAsia="仿宋_GB2312" w:cs="仿宋_GB2312"/>
                <w:kern w:val="0"/>
                <w:szCs w:val="21"/>
              </w:rPr>
            </w:pPr>
          </w:p>
        </w:tc>
        <w:tc>
          <w:tcPr>
            <w:tcW w:w="1241" w:type="dxa"/>
            <w:vAlign w:val="center"/>
          </w:tcPr>
          <w:p>
            <w:pPr>
              <w:widowControl/>
              <w:spacing w:after="0" w:line="320" w:lineRule="exact"/>
              <w:ind w:left="-53" w:leftChars="-25" w:right="-53" w:rightChars="-25"/>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秘书处保障措施</w:t>
            </w:r>
          </w:p>
        </w:tc>
        <w:tc>
          <w:tcPr>
            <w:tcW w:w="3900" w:type="dxa"/>
            <w:vAlign w:val="center"/>
          </w:tcPr>
          <w:p>
            <w:pPr>
              <w:widowControl/>
              <w:spacing w:after="0" w:line="320" w:lineRule="exact"/>
              <w:ind w:left="-53" w:leftChars="-25" w:right="-53" w:rightChars="-25"/>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1.将秘书处工作纳入本单位日常工作计划且纳入本单位绩效考核或年度考核；2.秘书处承担单位或上级主管部门给予技术委员会标准化活动经费支持</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3.工作经费单独核算，秘书处每年向全体委员报告经费收支总体情况，国家标准制修订补助经费</w:t>
            </w:r>
            <w:r>
              <w:rPr>
                <w:rFonts w:hint="eastAsia" w:ascii="仿宋_GB2312" w:hAnsi="仿宋_GB2312" w:eastAsia="仿宋_GB2312" w:cs="仿宋_GB2312"/>
                <w:kern w:val="0"/>
                <w:szCs w:val="21"/>
                <w:lang w:eastAsia="zh-CN"/>
              </w:rPr>
              <w:t>使用</w:t>
            </w:r>
            <w:r>
              <w:rPr>
                <w:rFonts w:hint="eastAsia" w:ascii="仿宋_GB2312" w:hAnsi="仿宋_GB2312" w:eastAsia="仿宋_GB2312" w:cs="仿宋_GB2312"/>
                <w:kern w:val="0"/>
                <w:szCs w:val="21"/>
              </w:rPr>
              <w:t>符合《国家标准制修订经费管理办法》的规定。</w:t>
            </w:r>
          </w:p>
        </w:tc>
        <w:tc>
          <w:tcPr>
            <w:tcW w:w="3519" w:type="dxa"/>
            <w:vAlign w:val="center"/>
          </w:tcPr>
          <w:p>
            <w:pPr>
              <w:widowControl/>
              <w:spacing w:after="0" w:line="320" w:lineRule="exact"/>
              <w:ind w:left="-53" w:leftChars="-25" w:right="-53" w:rightChars="-25"/>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1.将秘书处工作纳入本单位日常工作计划；2.工作经费单独核算，秘书处每年向全体委员报告经费收支总体情况，国家标准制修订补助经费</w:t>
            </w:r>
            <w:r>
              <w:rPr>
                <w:rFonts w:hint="eastAsia" w:ascii="仿宋_GB2312" w:hAnsi="仿宋_GB2312" w:eastAsia="仿宋_GB2312" w:cs="仿宋_GB2312"/>
                <w:kern w:val="0"/>
                <w:szCs w:val="21"/>
                <w:lang w:eastAsia="zh-CN"/>
              </w:rPr>
              <w:t>使用</w:t>
            </w:r>
            <w:r>
              <w:rPr>
                <w:rFonts w:hint="eastAsia" w:ascii="仿宋_GB2312" w:hAnsi="仿宋_GB2312" w:eastAsia="仿宋_GB2312" w:cs="仿宋_GB2312"/>
                <w:kern w:val="0"/>
                <w:szCs w:val="21"/>
              </w:rPr>
              <w:t>符合《国家标准制修订经费管理办法》的规定。</w:t>
            </w:r>
          </w:p>
        </w:tc>
        <w:tc>
          <w:tcPr>
            <w:tcW w:w="3178" w:type="dxa"/>
            <w:vAlign w:val="center"/>
          </w:tcPr>
          <w:p>
            <w:pPr>
              <w:widowControl/>
              <w:spacing w:after="0" w:line="320" w:lineRule="exact"/>
              <w:ind w:left="-53" w:leftChars="-25" w:right="-53" w:rightChars="-25"/>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工作经费单独核算，秘书处每年向全体委员报告经费收支总体情况，国家标准制修订补助经费</w:t>
            </w:r>
            <w:r>
              <w:rPr>
                <w:rFonts w:hint="eastAsia" w:ascii="仿宋_GB2312" w:hAnsi="仿宋_GB2312" w:eastAsia="仿宋_GB2312" w:cs="仿宋_GB2312"/>
                <w:kern w:val="0"/>
                <w:szCs w:val="21"/>
                <w:lang w:eastAsia="zh-CN"/>
              </w:rPr>
              <w:t>使用</w:t>
            </w:r>
            <w:r>
              <w:rPr>
                <w:rFonts w:hint="eastAsia" w:ascii="仿宋_GB2312" w:hAnsi="仿宋_GB2312" w:eastAsia="仿宋_GB2312" w:cs="仿宋_GB2312"/>
                <w:kern w:val="0"/>
                <w:szCs w:val="21"/>
              </w:rPr>
              <w:t>符合《国家标准制修订经费管理办法》的规定。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817" w:type="dxa"/>
            <w:vAlign w:val="center"/>
          </w:tcPr>
          <w:p>
            <w:pPr>
              <w:widowControl/>
              <w:spacing w:after="0" w:line="320" w:lineRule="exact"/>
              <w:ind w:left="-105" w:leftChars="-50" w:right="-105" w:rightChars="-5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1271" w:type="dxa"/>
            <w:vMerge w:val="continue"/>
            <w:vAlign w:val="center"/>
          </w:tcPr>
          <w:p>
            <w:pPr>
              <w:widowControl/>
              <w:spacing w:after="0" w:line="320" w:lineRule="exact"/>
              <w:ind w:left="-105" w:leftChars="-50" w:right="-105" w:rightChars="-50"/>
              <w:jc w:val="left"/>
              <w:rPr>
                <w:rFonts w:ascii="仿宋_GB2312" w:hAnsi="仿宋_GB2312" w:eastAsia="仿宋_GB2312" w:cs="仿宋_GB2312"/>
                <w:kern w:val="0"/>
                <w:szCs w:val="21"/>
              </w:rPr>
            </w:pPr>
          </w:p>
        </w:tc>
        <w:tc>
          <w:tcPr>
            <w:tcW w:w="1241" w:type="dxa"/>
            <w:vAlign w:val="center"/>
          </w:tcPr>
          <w:p>
            <w:pPr>
              <w:widowControl/>
              <w:spacing w:after="0" w:line="320" w:lineRule="exact"/>
              <w:ind w:left="-53" w:leftChars="-25" w:right="-53" w:rightChars="-25"/>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委员管理</w:t>
            </w:r>
          </w:p>
        </w:tc>
        <w:tc>
          <w:tcPr>
            <w:tcW w:w="3900" w:type="dxa"/>
            <w:vAlign w:val="center"/>
          </w:tcPr>
          <w:p>
            <w:pPr>
              <w:widowControl/>
              <w:spacing w:after="0" w:line="320" w:lineRule="exact"/>
              <w:ind w:right="-53" w:rightChars="-25"/>
              <w:jc w:val="both"/>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1.出席年会委员比例平均超过90%；2.申请立项的国家标准项目和标准审查委员投票率平均不低于9</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 xml:space="preserve">% </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3.考核期内，组织开展面向全体委员的标准化业务知识培训不少于3次</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4.吸纳外商投资企业或民营企业代表参与标准制订工作或担任技术委员会委员。</w:t>
            </w:r>
          </w:p>
        </w:tc>
        <w:tc>
          <w:tcPr>
            <w:tcW w:w="3519" w:type="dxa"/>
            <w:vAlign w:val="center"/>
          </w:tcPr>
          <w:p>
            <w:pPr>
              <w:widowControl/>
              <w:spacing w:after="0" w:line="320" w:lineRule="exact"/>
              <w:ind w:right="-53" w:rightChars="-25"/>
              <w:jc w:val="both"/>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1.出席年会委员比例平均超过80%；2.申请立项的国家标准项目和标准审查委员投票率平均不低于8</w:t>
            </w:r>
            <w:r>
              <w:rPr>
                <w:rFonts w:ascii="仿宋_GB2312" w:hAnsi="仿宋_GB2312" w:eastAsia="仿宋_GB2312" w:cs="仿宋_GB2312"/>
                <w:kern w:val="0"/>
                <w:szCs w:val="21"/>
              </w:rPr>
              <w:t>0</w:t>
            </w:r>
            <w:r>
              <w:rPr>
                <w:rFonts w:hint="eastAsia" w:ascii="仿宋_GB2312" w:hAnsi="仿宋_GB2312" w:eastAsia="仿宋_GB2312" w:cs="仿宋_GB2312"/>
                <w:kern w:val="0"/>
                <w:szCs w:val="21"/>
              </w:rPr>
              <w:t xml:space="preserve">% </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3.考核期内，组织开展面向全体委员的标准化业务知识培训不少于2次</w:t>
            </w:r>
            <w:r>
              <w:rPr>
                <w:rFonts w:hint="eastAsia" w:ascii="仿宋_GB2312" w:hAnsi="仿宋_GB2312" w:eastAsia="仿宋_GB2312" w:cs="仿宋_GB2312"/>
                <w:kern w:val="0"/>
                <w:szCs w:val="21"/>
                <w:lang w:eastAsia="zh-CN"/>
              </w:rPr>
              <w:t>。</w:t>
            </w:r>
          </w:p>
        </w:tc>
        <w:tc>
          <w:tcPr>
            <w:tcW w:w="3178" w:type="dxa"/>
            <w:vAlign w:val="center"/>
          </w:tcPr>
          <w:p>
            <w:pPr>
              <w:widowControl/>
              <w:spacing w:after="0" w:line="320" w:lineRule="exact"/>
              <w:ind w:right="-53" w:rightChars="-25"/>
              <w:jc w:val="both"/>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 xml:space="preserve">1.出席年会委员比例平均超过75%；2.申请立项的国家标准项目和标准审查委员投票率平均不低于75% </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3.考核期内，组织开展面向全体委员的标准化业务知识培训不少于1次</w:t>
            </w:r>
            <w:r>
              <w:rPr>
                <w:rFonts w:hint="eastAsia" w:ascii="仿宋_GB2312" w:hAnsi="仿宋_GB2312" w:eastAsia="仿宋_GB2312" w:cs="仿宋_GB2312"/>
                <w:kern w:val="0"/>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817" w:type="dxa"/>
            <w:vAlign w:val="center"/>
          </w:tcPr>
          <w:p>
            <w:pPr>
              <w:widowControl/>
              <w:spacing w:after="0" w:line="320" w:lineRule="exact"/>
              <w:ind w:left="-105" w:leftChars="-50" w:right="-105" w:rightChars="-5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1271" w:type="dxa"/>
            <w:vMerge w:val="continue"/>
            <w:vAlign w:val="center"/>
          </w:tcPr>
          <w:p>
            <w:pPr>
              <w:widowControl/>
              <w:spacing w:after="0" w:line="320" w:lineRule="exact"/>
              <w:ind w:left="-105" w:leftChars="-50" w:right="-105" w:rightChars="-50"/>
              <w:jc w:val="left"/>
              <w:rPr>
                <w:rFonts w:ascii="仿宋_GB2312" w:hAnsi="仿宋_GB2312" w:eastAsia="仿宋_GB2312" w:cs="仿宋_GB2312"/>
                <w:kern w:val="0"/>
                <w:szCs w:val="21"/>
              </w:rPr>
            </w:pPr>
          </w:p>
        </w:tc>
        <w:tc>
          <w:tcPr>
            <w:tcW w:w="1241" w:type="dxa"/>
            <w:vAlign w:val="center"/>
          </w:tcPr>
          <w:p>
            <w:pPr>
              <w:widowControl/>
              <w:spacing w:after="0" w:line="320" w:lineRule="exact"/>
              <w:ind w:left="-53" w:leftChars="-25" w:right="-53" w:rightChars="-25"/>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组织参与国际标准化工作</w:t>
            </w:r>
          </w:p>
        </w:tc>
        <w:tc>
          <w:tcPr>
            <w:tcW w:w="3900" w:type="dxa"/>
            <w:vAlign w:val="center"/>
          </w:tcPr>
          <w:p>
            <w:pPr>
              <w:widowControl/>
              <w:spacing w:after="0" w:line="320" w:lineRule="exact"/>
              <w:ind w:left="-53" w:leftChars="-25" w:right="-53" w:rightChars="-25"/>
              <w:jc w:val="both"/>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满足以下方面中的4个：1.参与制修订国际标准；2.</w:t>
            </w:r>
            <w:r>
              <w:rPr>
                <w:rFonts w:hint="eastAsia" w:ascii="仿宋_GB2312" w:hAnsi="仿宋_GB2312" w:eastAsia="仿宋_GB2312" w:cs="仿宋_GB2312"/>
                <w:kern w:val="0"/>
                <w:szCs w:val="21"/>
                <w:lang w:val="en-US" w:eastAsia="zh-CN"/>
              </w:rPr>
              <w:t>积极提交国际标准提案并列入国际标准预备项目（PWI）或立项通过</w:t>
            </w:r>
            <w:r>
              <w:rPr>
                <w:rFonts w:hint="eastAsia" w:ascii="仿宋_GB2312" w:hAnsi="仿宋_GB2312" w:eastAsia="仿宋_GB2312" w:cs="仿宋_GB2312"/>
                <w:kern w:val="0"/>
                <w:szCs w:val="21"/>
              </w:rPr>
              <w:t>；3.积极开展国家标准外文版翻译；4.积极参与发达国家或地区（如CEN</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ASTM</w:t>
            </w:r>
            <w:r>
              <w:rPr>
                <w:rFonts w:hint="eastAsia" w:ascii="仿宋_GB2312" w:hAnsi="仿宋_GB2312" w:eastAsia="仿宋_GB2312" w:cs="仿宋_GB2312"/>
                <w:kern w:val="0"/>
                <w:szCs w:val="21"/>
              </w:rPr>
              <w:t>）对口标准化工作；5.组织开展本领域标准化国际会议；6.</w:t>
            </w:r>
            <w:r>
              <w:rPr>
                <w:rFonts w:hint="eastAsia" w:ascii="仿宋_GB2312" w:hAnsi="仿宋_GB2312" w:eastAsia="仿宋_GB2312" w:cs="仿宋_GB2312"/>
                <w:kern w:val="0"/>
                <w:szCs w:val="21"/>
                <w:lang w:eastAsia="zh-CN"/>
              </w:rPr>
              <w:t>组织开展</w:t>
            </w:r>
            <w:r>
              <w:rPr>
                <w:rFonts w:hint="eastAsia" w:ascii="仿宋_GB2312" w:hAnsi="仿宋_GB2312" w:eastAsia="仿宋_GB2312" w:cs="仿宋_GB2312"/>
                <w:kern w:val="0"/>
                <w:szCs w:val="21"/>
              </w:rPr>
              <w:t>国际标准的跟踪评估及转化；7.推动标准海外应用；8.参加技术性贸易措施通报评议；9.积极开展对重点区域、国家重点领域标准化发展趋势最新政策等的跟踪、分析、研究；</w:t>
            </w:r>
            <w:r>
              <w:rPr>
                <w:rFonts w:hint="eastAsia" w:ascii="仿宋_GB2312" w:hAnsi="仿宋_GB2312" w:eastAsia="仿宋_GB2312" w:cs="仿宋_GB2312"/>
                <w:kern w:val="0"/>
                <w:szCs w:val="21"/>
                <w:lang w:val="en-US" w:eastAsia="zh-CN"/>
              </w:rPr>
              <w:t>10.获得国际标准化组织相关奖项。</w:t>
            </w:r>
          </w:p>
        </w:tc>
        <w:tc>
          <w:tcPr>
            <w:tcW w:w="3519" w:type="dxa"/>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满足以下方面中的3个：1.参与制修订国际标准；2.</w:t>
            </w:r>
            <w:r>
              <w:rPr>
                <w:rFonts w:hint="eastAsia" w:ascii="仿宋_GB2312" w:hAnsi="仿宋_GB2312" w:eastAsia="仿宋_GB2312" w:cs="仿宋_GB2312"/>
                <w:kern w:val="0"/>
                <w:szCs w:val="21"/>
                <w:lang w:val="en-US" w:eastAsia="zh-CN"/>
              </w:rPr>
              <w:t>积极提交国际标准提案并列入国际标准预备项目（PWI）或立项通过</w:t>
            </w:r>
            <w:r>
              <w:rPr>
                <w:rFonts w:hint="eastAsia" w:ascii="仿宋_GB2312" w:hAnsi="仿宋_GB2312" w:eastAsia="仿宋_GB2312" w:cs="仿宋_GB2312"/>
                <w:kern w:val="0"/>
                <w:szCs w:val="21"/>
              </w:rPr>
              <w:t>；3.积极开展国家标准外文版翻译；4.积极参与发达国家或地区（如CEN</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ASTM</w:t>
            </w:r>
            <w:r>
              <w:rPr>
                <w:rFonts w:hint="eastAsia" w:ascii="仿宋_GB2312" w:hAnsi="仿宋_GB2312" w:eastAsia="仿宋_GB2312" w:cs="仿宋_GB2312"/>
                <w:kern w:val="0"/>
                <w:szCs w:val="21"/>
              </w:rPr>
              <w:t>）对口标准化工作；5.组织开展本领域标准化国际会议；6.</w:t>
            </w:r>
            <w:r>
              <w:rPr>
                <w:rFonts w:hint="eastAsia" w:ascii="仿宋_GB2312" w:hAnsi="仿宋_GB2312" w:eastAsia="仿宋_GB2312" w:cs="仿宋_GB2312"/>
                <w:kern w:val="0"/>
                <w:szCs w:val="21"/>
                <w:lang w:eastAsia="zh-CN"/>
              </w:rPr>
              <w:t>组织开展</w:t>
            </w:r>
            <w:r>
              <w:rPr>
                <w:rFonts w:hint="eastAsia" w:ascii="仿宋_GB2312" w:hAnsi="仿宋_GB2312" w:eastAsia="仿宋_GB2312" w:cs="仿宋_GB2312"/>
                <w:kern w:val="0"/>
                <w:szCs w:val="21"/>
              </w:rPr>
              <w:t>国际标准的跟踪评估及转化；7.推动标准海外应用；8.参加技术性贸易措施通报评议；9.积极开展对重点区域、国家重点领域标准化发展趋势最新政策等的跟踪、分析、研究；</w:t>
            </w:r>
            <w:r>
              <w:rPr>
                <w:rFonts w:hint="eastAsia" w:ascii="仿宋_GB2312" w:hAnsi="仿宋_GB2312" w:eastAsia="仿宋_GB2312" w:cs="仿宋_GB2312"/>
                <w:kern w:val="0"/>
                <w:szCs w:val="21"/>
                <w:lang w:val="en-US" w:eastAsia="zh-CN"/>
              </w:rPr>
              <w:t>10.获得国际标准化组织相关奖项。</w:t>
            </w:r>
          </w:p>
        </w:tc>
        <w:tc>
          <w:tcPr>
            <w:tcW w:w="3178" w:type="dxa"/>
            <w:vAlign w:val="center"/>
          </w:tcPr>
          <w:p>
            <w:pPr>
              <w:widowControl/>
              <w:spacing w:after="0" w:line="320" w:lineRule="exact"/>
              <w:ind w:left="-53" w:leftChars="-25" w:right="-53" w:rightChars="-25"/>
              <w:jc w:val="both"/>
              <w:rPr>
                <w:rFonts w:ascii="仿宋_GB2312" w:hAnsi="仿宋_GB2312" w:eastAsia="仿宋_GB2312" w:cs="仿宋_GB2312"/>
                <w:kern w:val="0"/>
                <w:szCs w:val="21"/>
              </w:rPr>
            </w:pPr>
            <w:r>
              <w:rPr>
                <w:rFonts w:hint="eastAsia" w:ascii="仿宋_GB2312" w:hAnsi="仿宋_GB2312" w:eastAsia="仿宋_GB2312" w:cs="仿宋_GB2312"/>
                <w:kern w:val="0"/>
                <w:szCs w:val="21"/>
              </w:rPr>
              <w:t>满足以下方面中的2个：1.参与制修订国际标准；2.</w:t>
            </w:r>
            <w:r>
              <w:rPr>
                <w:rFonts w:hint="eastAsia" w:ascii="仿宋_GB2312" w:hAnsi="仿宋_GB2312" w:eastAsia="仿宋_GB2312" w:cs="仿宋_GB2312"/>
                <w:kern w:val="0"/>
                <w:szCs w:val="21"/>
                <w:lang w:val="en-US" w:eastAsia="zh-CN"/>
              </w:rPr>
              <w:t>积极提交国际标准提案并列入国际标准预备项目（PWI）或立项通过</w:t>
            </w:r>
            <w:r>
              <w:rPr>
                <w:rFonts w:hint="eastAsia" w:ascii="仿宋_GB2312" w:hAnsi="仿宋_GB2312" w:eastAsia="仿宋_GB2312" w:cs="仿宋_GB2312"/>
                <w:kern w:val="0"/>
                <w:szCs w:val="21"/>
              </w:rPr>
              <w:t>；3.积极开展国家标准外文版翻译；4.积极参与发达国家或地区（如CEN</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ASTM</w:t>
            </w:r>
            <w:r>
              <w:rPr>
                <w:rFonts w:hint="eastAsia" w:ascii="仿宋_GB2312" w:hAnsi="仿宋_GB2312" w:eastAsia="仿宋_GB2312" w:cs="仿宋_GB2312"/>
                <w:kern w:val="0"/>
                <w:szCs w:val="21"/>
              </w:rPr>
              <w:t>）对口标准化工作；5.组织开展本领域标准化国际会议；6.</w:t>
            </w:r>
            <w:r>
              <w:rPr>
                <w:rFonts w:hint="eastAsia" w:ascii="仿宋_GB2312" w:hAnsi="仿宋_GB2312" w:eastAsia="仿宋_GB2312" w:cs="仿宋_GB2312"/>
                <w:kern w:val="0"/>
                <w:szCs w:val="21"/>
                <w:lang w:eastAsia="zh-CN"/>
              </w:rPr>
              <w:t>组织开展</w:t>
            </w:r>
            <w:r>
              <w:rPr>
                <w:rFonts w:hint="eastAsia" w:ascii="仿宋_GB2312" w:hAnsi="仿宋_GB2312" w:eastAsia="仿宋_GB2312" w:cs="仿宋_GB2312"/>
                <w:kern w:val="0"/>
                <w:szCs w:val="21"/>
              </w:rPr>
              <w:t>国际标准的跟踪评估及转化；7.推动标准海外应用；8.参加技术性贸易措施通报评议；9.积极开展对重点区域、国家重点领域标准化发展趋势最新政策等的跟踪、分析、研究；</w:t>
            </w:r>
            <w:r>
              <w:rPr>
                <w:rFonts w:hint="eastAsia" w:ascii="仿宋_GB2312" w:hAnsi="仿宋_GB2312" w:eastAsia="仿宋_GB2312" w:cs="仿宋_GB2312"/>
                <w:kern w:val="0"/>
                <w:szCs w:val="21"/>
                <w:lang w:val="en-US" w:eastAsia="zh-CN"/>
              </w:rPr>
              <w:t>10.获得国际标准化组织相关奖项。</w:t>
            </w:r>
          </w:p>
        </w:tc>
      </w:tr>
    </w:tbl>
    <w:p>
      <w:pPr>
        <w:pStyle w:val="2"/>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themeColor="text1"/>
          <w:kern w:val="0"/>
          <w:szCs w:val="21"/>
          <w14:textFill>
            <w14:solidFill>
              <w14:schemeClr w14:val="tx1"/>
            </w14:solidFill>
          </w14:textFill>
        </w:rPr>
        <w:t>注*：中央媒体包括：人民日报社、新华社、中央人民广播电视总台、求是杂志社、解放军报社、光明日报社、经济日报社、中国日报社、科技日报社、人民政协报社、中国纪检监察报社、中国新闻社、学习时报社、工人日报社、中国青年报社、中国妇女报社、农民日报社、法治日报社</w:t>
      </w:r>
      <w:r>
        <w:rPr>
          <w:rFonts w:hint="eastAsia" w:ascii="仿宋_GB2312" w:hAnsi="仿宋_GB2312" w:eastAsia="仿宋_GB2312" w:cs="仿宋_GB2312"/>
          <w:color w:val="000000" w:themeColor="text1"/>
          <w:kern w:val="0"/>
          <w:szCs w:val="21"/>
          <w:lang w:eastAsia="zh-CN"/>
          <w14:textFill>
            <w14:solidFill>
              <w14:schemeClr w14:val="tx1"/>
            </w14:solidFill>
          </w14:textFill>
        </w:rPr>
        <w:t>。</w: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83A1110-1FCE-4CC4-B57E-F3B6BDB144D5}"/>
  </w:font>
  <w:font w:name="微软雅黑">
    <w:panose1 w:val="020B0503020204020204"/>
    <w:charset w:val="86"/>
    <w:family w:val="auto"/>
    <w:pitch w:val="default"/>
    <w:sig w:usb0="80000287" w:usb1="2ACF3C50" w:usb2="00000016" w:usb3="00000000" w:csb0="0004001F" w:csb1="00000000"/>
    <w:embedRegular r:id="rId2" w:fontKey="{6A9666AC-DA4D-43C0-9DDA-42B638D00468}"/>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B1F4F1B3-3886-4207-A6BF-4A4D48381E60}"/>
  </w:font>
  <w:font w:name="仿宋_GB2312">
    <w:panose1 w:val="02010609030101010101"/>
    <w:charset w:val="86"/>
    <w:family w:val="modern"/>
    <w:pitch w:val="default"/>
    <w:sig w:usb0="00000001" w:usb1="080E0000" w:usb2="00000000" w:usb3="00000000" w:csb0="00040000" w:csb1="00000000"/>
    <w:embedRegular r:id="rId4" w:fontKey="{8D8314D2-8354-4AC6-B5FF-124BB3E45E0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jYzZTdiMWNjYjVlMWE4MTAyNjFkOTU1ZmY2MzcifQ=="/>
  </w:docVars>
  <w:rsids>
    <w:rsidRoot w:val="651D0AE1"/>
    <w:rsid w:val="651D0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2023-06-26T09:08:00Z</dcterms:created>
  <dc:creator>刘某某</dc:creator>
  <cp:lastModifiedBy>刘某某</cp:lastModifiedBy>
  <dcterms:modified xsi:type="dcterms:W3CDTF">2023-06-26T09:08:25Z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39AF37911ED44364A65610F75E307E39_11</vt:lpwstr>
  </property>
</Properties>
</file>