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4" w:lineRule="exact"/>
        <w:ind w:firstLine="0" w:firstLineChars="0"/>
        <w:jc w:val="left"/>
        <w:rPr>
          <w:rFonts w:ascii="Times New Roman" w:hAnsi="Times New Roman" w:eastAsia="黑体" w:cs="仿宋_GB2312"/>
          <w:snapToGrid w:val="0"/>
          <w:szCs w:val="32"/>
        </w:rPr>
      </w:pPr>
      <w:r>
        <w:rPr>
          <w:rFonts w:hint="eastAsia" w:ascii="Times New Roman" w:hAnsi="Times New Roman" w:eastAsia="黑体" w:cs="仿宋_GB2312"/>
          <w:snapToGrid w:val="0"/>
          <w:szCs w:val="32"/>
        </w:rPr>
        <w:t>附件</w:t>
      </w:r>
    </w:p>
    <w:p>
      <w:pPr>
        <w:overflowPunct w:val="0"/>
        <w:adjustRightInd w:val="0"/>
        <w:snapToGrid w:val="0"/>
        <w:spacing w:line="594" w:lineRule="exact"/>
        <w:ind w:firstLine="0" w:firstLineChars="0"/>
        <w:jc w:val="center"/>
        <w:rPr>
          <w:rFonts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第十批社会管理和公共服务综合标准化试点项目表</w:t>
      </w:r>
      <w:bookmarkEnd w:id="0"/>
    </w:p>
    <w:p>
      <w:pPr>
        <w:overflowPunct w:val="0"/>
        <w:adjustRightInd w:val="0"/>
        <w:snapToGrid w:val="0"/>
        <w:spacing w:line="594" w:lineRule="exact"/>
        <w:ind w:firstLine="0" w:firstLineChars="0"/>
        <w:jc w:val="center"/>
        <w:rPr>
          <w:rFonts w:ascii="Times New Roman" w:hAnsi="Times New Roman" w:eastAsia="方正小标宋简体" w:cs="方正小标宋简体"/>
          <w:sz w:val="44"/>
          <w:szCs w:val="44"/>
        </w:rPr>
      </w:pPr>
    </w:p>
    <w:tbl>
      <w:tblPr>
        <w:tblStyle w:val="7"/>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487"/>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overflowPunct w:val="0"/>
              <w:adjustRightInd w:val="0"/>
              <w:snapToGrid w:val="0"/>
              <w:spacing w:line="360" w:lineRule="exact"/>
              <w:ind w:firstLine="0" w:firstLineChars="0"/>
              <w:jc w:val="center"/>
              <w:rPr>
                <w:rFonts w:hint="eastAsia" w:ascii="黑体" w:hAnsi="黑体" w:eastAsia="黑体" w:cs="黑体"/>
                <w:sz w:val="24"/>
              </w:rPr>
            </w:pPr>
            <w:r>
              <w:rPr>
                <w:rFonts w:hint="eastAsia" w:ascii="黑体" w:hAnsi="黑体" w:eastAsia="黑体" w:cs="黑体"/>
                <w:sz w:val="24"/>
              </w:rPr>
              <w:t>序号</w:t>
            </w:r>
          </w:p>
        </w:tc>
        <w:tc>
          <w:tcPr>
            <w:tcW w:w="1134" w:type="dxa"/>
            <w:vAlign w:val="center"/>
          </w:tcPr>
          <w:p>
            <w:pPr>
              <w:overflowPunct w:val="0"/>
              <w:adjustRightInd w:val="0"/>
              <w:snapToGrid w:val="0"/>
              <w:spacing w:line="360" w:lineRule="exact"/>
              <w:ind w:firstLine="0" w:firstLineChars="0"/>
              <w:jc w:val="center"/>
              <w:rPr>
                <w:rFonts w:hint="eastAsia" w:ascii="黑体" w:hAnsi="黑体" w:eastAsia="黑体" w:cs="黑体"/>
                <w:kern w:val="2"/>
                <w:sz w:val="24"/>
                <w:lang w:val="en-US" w:eastAsia="zh-CN"/>
              </w:rPr>
            </w:pPr>
            <w:r>
              <w:rPr>
                <w:rFonts w:hint="eastAsia" w:ascii="黑体" w:hAnsi="黑体" w:eastAsia="黑体" w:cs="黑体"/>
                <w:sz w:val="24"/>
              </w:rPr>
              <w:t>省区市</w:t>
            </w:r>
            <w:r>
              <w:rPr>
                <w:rFonts w:hint="eastAsia" w:ascii="黑体" w:hAnsi="黑体" w:eastAsia="黑体" w:cs="黑体"/>
                <w:sz w:val="24"/>
                <w:lang w:val="en-US" w:eastAsia="zh-CN"/>
              </w:rPr>
              <w:t>/部门</w:t>
            </w:r>
          </w:p>
        </w:tc>
        <w:tc>
          <w:tcPr>
            <w:tcW w:w="7487" w:type="dxa"/>
            <w:vAlign w:val="center"/>
          </w:tcPr>
          <w:p>
            <w:pPr>
              <w:overflowPunct w:val="0"/>
              <w:adjustRightInd w:val="0"/>
              <w:snapToGrid w:val="0"/>
              <w:spacing w:line="360" w:lineRule="exact"/>
              <w:ind w:firstLine="0" w:firstLineChars="0"/>
              <w:jc w:val="center"/>
              <w:rPr>
                <w:rFonts w:hint="eastAsia" w:ascii="黑体" w:hAnsi="黑体" w:eastAsia="黑体" w:cs="黑体"/>
                <w:kern w:val="2"/>
                <w:sz w:val="24"/>
              </w:rPr>
            </w:pPr>
            <w:r>
              <w:rPr>
                <w:rFonts w:hint="eastAsia" w:ascii="黑体" w:hAnsi="黑体" w:eastAsia="黑体" w:cs="黑体"/>
                <w:sz w:val="24"/>
              </w:rPr>
              <w:t>试点名称</w:t>
            </w:r>
          </w:p>
        </w:tc>
        <w:tc>
          <w:tcPr>
            <w:tcW w:w="4440" w:type="dxa"/>
            <w:vAlign w:val="center"/>
          </w:tcPr>
          <w:p>
            <w:pPr>
              <w:overflowPunct w:val="0"/>
              <w:adjustRightInd w:val="0"/>
              <w:snapToGrid w:val="0"/>
              <w:spacing w:line="360" w:lineRule="exact"/>
              <w:ind w:firstLine="0" w:firstLineChars="0"/>
              <w:jc w:val="center"/>
              <w:rPr>
                <w:rFonts w:hint="eastAsia" w:ascii="黑体" w:hAnsi="黑体" w:eastAsia="黑体" w:cs="黑体"/>
                <w:kern w:val="2"/>
                <w:sz w:val="24"/>
              </w:rPr>
            </w:pPr>
            <w:r>
              <w:rPr>
                <w:rFonts w:hint="eastAsia" w:ascii="黑体" w:hAnsi="黑体" w:eastAsia="黑体" w:cs="黑体"/>
                <w:sz w:val="24"/>
              </w:rPr>
              <w:t>试点承担单位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北京</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北京天安门地区消防救援支队文物古建筑消防安全管理标准化试点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北京市天安门地区消防救援支队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河北</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河北邢台市消防救援支队专业水域救援队伍建设标准化试点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河北省邢台市消防救援支队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山西</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山西晋城泽州县消防技术服务和队伍规范化建设标准化试点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山西省泽州县消防救援大队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内蒙古</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内蒙古通辽市专职消防救援队伍建设标准化试点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内蒙古自治区通辽市消防救援支队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浙江</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浙江杭州上城区微型消防站建设与管理标准化试点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浙江省杭州市上城区消防救援大队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吉林</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吉林白城市蓝天救援服务中心社会应急力量建设标准化试点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吉林省白城市蓝天救援服务中心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黑龙江</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黑龙江佳木斯同江市综合减灾社区建设标准化试点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黑龙江省同江市应急管理局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浙江</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浙江杭州市社会应急力量救援队伍建设标准化试点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浙江省杭州市应急管理局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山东</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山东东营垦利区综合减灾社区建设标准化试点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山东省东营市垦利区应急管理局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四川</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国网四川省电力公司电力应急中心应急培训演练基地建设标准化试点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国网四川省电力公司电力应急中心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广东</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广东电网应急及风险管理中心电力综合应急基地建设标准化试点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广东电网应急及风险管理中心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应急管理部</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陕西西安市综合减灾社区建设标准化试点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陕西省西安市应急管理局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应急管理部</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山东青岛城阳区综合减灾社区建设标准化试点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山东省青岛市应急管理局</w:t>
            </w:r>
            <w:r>
              <w:rPr>
                <w:rFonts w:hint="eastAsia" w:ascii="Times New Roman" w:hAnsi="Times New Roman"/>
                <w:sz w:val="24"/>
              </w:rPr>
              <w:br w:type="textWrapping"/>
            </w:r>
            <w:r>
              <w:rPr>
                <w:rFonts w:hint="eastAsia" w:ascii="Times New Roman" w:hAnsi="Times New Roman"/>
                <w:sz w:val="24"/>
              </w:rPr>
              <w:t>山东省青岛市城阳区应急管理局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应急管理部</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河北雄安新区雄县综合减灾社区建设标准化试点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河北省雄县人民政府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应急管理部</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中国安能集团第二工程局有限公司常州分公司工程应急救援队伍建设标准化试点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中国安能集团第二工程局有限公司常州分公司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应急管理部</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中国安能集团第一工程局有限公司南宁分公司工程救援装备配备建设标准化试点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中国安能集团第一工程局有限公司南宁分公司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r>
              <w:rPr>
                <w:rFonts w:ascii="Times New Roman" w:hAnsi="Times New Roman"/>
                <w:sz w:val="24"/>
              </w:rPr>
              <w:t>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应急管理部</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大庆油田有限责任公司危险化学品应急救援队伍建设标准化试点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黑龙江省大庆油田有限责任公司</w:t>
            </w:r>
          </w:p>
        </w:tc>
      </w:tr>
    </w:tbl>
    <w:p>
      <w:pPr>
        <w:pStyle w:val="2"/>
        <w:spacing w:before="156"/>
        <w:ind w:firstLine="643"/>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0CADF9-D2DC-47F3-9C8A-C4597862F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68CB1B-0CBE-48B7-9355-779DA7C016A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F9844EF2-3C0E-4C66-9AEE-9D7DCA158B98}"/>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jYzZTdiMWNjYjVlMWE4MTAyNjFkOTU1ZmY2MzcifQ=="/>
  </w:docVars>
  <w:rsids>
    <w:rsidRoot w:val="387E1CF0"/>
    <w:rsid w:val="387E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宋体" w:hAnsi="宋体" w:eastAsia="仿宋_GB2312" w:cs="Times New Roman"/>
      <w:color w:val="000000"/>
      <w:sz w:val="32"/>
      <w:szCs w:val="24"/>
      <w:lang w:val="en-US" w:eastAsia="zh-CN" w:bidi="ar-SA"/>
    </w:rPr>
  </w:style>
  <w:style w:type="paragraph" w:styleId="2">
    <w:name w:val="heading 3"/>
    <w:basedOn w:val="1"/>
    <w:next w:val="1"/>
    <w:qFormat/>
    <w:uiPriority w:val="99"/>
    <w:pPr>
      <w:tabs>
        <w:tab w:val="left" w:pos="360"/>
      </w:tabs>
      <w:spacing w:beforeLines="50"/>
      <w:outlineLvl w:val="2"/>
    </w:pPr>
    <w:rPr>
      <w:b/>
      <w:bCs/>
      <w:kern w:val="28"/>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网格型2"/>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2024-01-15T01:44:00Z</dcterms:created>
  <dc:creator>刘某某</dc:creator>
  <cp:lastModifiedBy>刘某某</cp:lastModifiedBy>
  <dcterms:modified xsi:type="dcterms:W3CDTF">2024-01-15T01:45:10Z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435E16862AC54EFF936EBFA58B1AE401_11</vt:lpwstr>
  </property>
</Properties>
</file>