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b/>
          <w:bCs/>
          <w:szCs w:val="21"/>
        </w:rPr>
      </w:pPr>
      <w:r>
        <w:rPr>
          <w:rFonts w:ascii="Times New Roman" w:hAnsi="Times New Roman"/>
          <w:b/>
          <w:bCs/>
          <w:szCs w:val="21"/>
        </w:rPr>
        <w:t>经营者集中简易案件公示表</w:t>
      </w:r>
    </w:p>
    <w:p>
      <w:pPr>
        <w:spacing w:line="440" w:lineRule="exact"/>
        <w:jc w:val="center"/>
        <w:rPr>
          <w:rFonts w:ascii="Times New Roman" w:hAnsi="Times New Roman"/>
          <w:szCs w:val="21"/>
        </w:rPr>
      </w:pP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tcPr>
          <w:p>
            <w:pPr>
              <w:spacing w:line="500" w:lineRule="exact"/>
              <w:rPr>
                <w:rFonts w:ascii="Times New Roman" w:hAnsi="Times New Roman"/>
                <w:b/>
                <w:bCs/>
                <w:szCs w:val="21"/>
              </w:rPr>
            </w:pPr>
            <w:r>
              <w:rPr>
                <w:rFonts w:ascii="Times New Roman" w:hAnsi="Times New Roman"/>
                <w:b/>
                <w:bCs/>
                <w:szCs w:val="21"/>
              </w:rPr>
              <w:t>案件名称</w:t>
            </w:r>
          </w:p>
        </w:tc>
        <w:tc>
          <w:tcPr>
            <w:tcW w:w="6550" w:type="dxa"/>
            <w:gridSpan w:val="2"/>
            <w:shd w:val="clear" w:color="auto" w:fill="auto"/>
            <w:vAlign w:val="center"/>
          </w:tcPr>
          <w:p>
            <w:pPr>
              <w:spacing w:before="156" w:beforeLines="50" w:after="156" w:afterLines="50"/>
              <w:rPr>
                <w:rFonts w:ascii="Times New Roman" w:hAnsi="Times New Roman"/>
                <w:szCs w:val="21"/>
              </w:rPr>
            </w:pPr>
            <w:r>
              <w:rPr>
                <w:rFonts w:hint="eastAsia" w:cs="宋体"/>
                <w:color w:val="000000" w:themeColor="text1"/>
                <w:kern w:val="0"/>
                <w:szCs w:val="21"/>
                <w14:textFill>
                  <w14:solidFill>
                    <w14:schemeClr w14:val="tx1"/>
                  </w14:solidFill>
                </w14:textFill>
              </w:rPr>
              <w:t>埃克森美孚亚太区私人有限公司与广东珠江投资管理集团有限公司收购广东惠州液化天然气有限公司股权案（“</w:t>
            </w:r>
            <w:r>
              <w:rPr>
                <w:rFonts w:hint="eastAsia" w:cs="宋体"/>
                <w:b/>
                <w:bCs/>
                <w:color w:val="000000" w:themeColor="text1"/>
                <w:kern w:val="0"/>
                <w:szCs w:val="21"/>
                <w14:textFill>
                  <w14:solidFill>
                    <w14:schemeClr w14:val="tx1"/>
                  </w14:solidFill>
                </w14:textFill>
              </w:rPr>
              <w:t>拟议交易</w:t>
            </w:r>
            <w:r>
              <w:rPr>
                <w:rFonts w:hint="eastAsia"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tcPr>
          <w:p>
            <w:pPr>
              <w:spacing w:line="500" w:lineRule="exact"/>
              <w:rPr>
                <w:rFonts w:ascii="Times New Roman" w:hAnsi="Times New Roman"/>
                <w:b/>
                <w:bCs/>
                <w:szCs w:val="21"/>
              </w:rPr>
            </w:pPr>
            <w:r>
              <w:rPr>
                <w:rFonts w:ascii="Times New Roman" w:hAnsi="Times New Roman"/>
                <w:b/>
                <w:bCs/>
                <w:szCs w:val="21"/>
              </w:rPr>
              <w:t>交易概况（限200字内）</w:t>
            </w:r>
          </w:p>
        </w:tc>
        <w:tc>
          <w:tcPr>
            <w:tcW w:w="6550" w:type="dxa"/>
            <w:gridSpan w:val="2"/>
          </w:tcPr>
          <w:p>
            <w:pPr>
              <w:spacing w:before="156" w:beforeLines="50" w:after="156" w:afterLines="50"/>
              <w:rPr>
                <w:rFonts w:ascii="Times New Roman" w:hAnsi="Times New Roman"/>
                <w:color w:val="000000"/>
                <w:szCs w:val="21"/>
              </w:rPr>
            </w:pPr>
            <w:r>
              <w:rPr>
                <w:rFonts w:hint="eastAsia" w:ascii="Times New Roman" w:hAnsi="Times New Roman"/>
                <w:color w:val="000000"/>
                <w:szCs w:val="21"/>
              </w:rPr>
              <w:t>2021年10月8日，广东能源集团天然气有限公司（“</w:t>
            </w:r>
            <w:r>
              <w:rPr>
                <w:rFonts w:hint="eastAsia" w:ascii="Times New Roman" w:hAnsi="Times New Roman"/>
                <w:b/>
                <w:bCs/>
                <w:color w:val="000000"/>
                <w:szCs w:val="21"/>
              </w:rPr>
              <w:t>广东能源集团天然气</w:t>
            </w:r>
            <w:r>
              <w:rPr>
                <w:rFonts w:hint="eastAsia" w:ascii="Times New Roman" w:hAnsi="Times New Roman"/>
                <w:color w:val="000000"/>
                <w:szCs w:val="21"/>
              </w:rPr>
              <w:t>”），</w:t>
            </w:r>
            <w:r>
              <w:rPr>
                <w:rFonts w:hint="eastAsia" w:cs="宋体"/>
                <w:color w:val="000000" w:themeColor="text1"/>
                <w:kern w:val="0"/>
                <w:szCs w:val="21"/>
                <w14:textFill>
                  <w14:solidFill>
                    <w14:schemeClr w14:val="tx1"/>
                  </w14:solidFill>
                </w14:textFill>
              </w:rPr>
              <w:t>埃克森美孚亚太区私人有限公司（“</w:t>
            </w:r>
            <w:r>
              <w:rPr>
                <w:rFonts w:hint="eastAsia" w:ascii="Times New Roman" w:hAnsi="Times New Roman"/>
                <w:b/>
                <w:bCs/>
                <w:color w:val="000000"/>
                <w:szCs w:val="21"/>
              </w:rPr>
              <w:t>埃克森美孚亚太</w:t>
            </w:r>
            <w:r>
              <w:rPr>
                <w:rFonts w:hint="eastAsia" w:cs="宋体"/>
                <w:color w:val="000000" w:themeColor="text1"/>
                <w:kern w:val="0"/>
                <w:szCs w:val="21"/>
                <w14:textFill>
                  <w14:solidFill>
                    <w14:schemeClr w14:val="tx1"/>
                  </w14:solidFill>
                </w14:textFill>
              </w:rPr>
              <w:t>”）（通过</w:t>
            </w:r>
            <w:r>
              <w:rPr>
                <w:rFonts w:hint="eastAsia" w:ascii="Times New Roman" w:hAnsi="Times New Roman"/>
                <w:color w:val="000000"/>
                <w:szCs w:val="21"/>
              </w:rPr>
              <w:t>惠州液化天然气接收站投资私人有限公司（</w:t>
            </w: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rPr>
              <w:t>惠州液化天然气接收站投资</w:t>
            </w:r>
            <w:r>
              <w:rPr>
                <w:rFonts w:hint="eastAsia" w:asciiTheme="minorEastAsia" w:hAnsiTheme="minorEastAsia" w:eastAsiaTheme="minorEastAsia"/>
                <w:color w:val="000000"/>
                <w:szCs w:val="21"/>
              </w:rPr>
              <w:t>”</w:t>
            </w:r>
            <w:r>
              <w:rPr>
                <w:rFonts w:hint="eastAsia" w:ascii="Times New Roman" w:hAnsi="Times New Roman"/>
                <w:color w:val="000000"/>
                <w:szCs w:val="21"/>
              </w:rPr>
              <w:t>）），广东珠江投资管理集团有限公司（“</w:t>
            </w:r>
            <w:r>
              <w:rPr>
                <w:rFonts w:hint="eastAsia" w:ascii="Times New Roman" w:hAnsi="Times New Roman"/>
                <w:b/>
                <w:bCs/>
                <w:color w:val="000000"/>
                <w:szCs w:val="21"/>
              </w:rPr>
              <w:t>珠江投管</w:t>
            </w:r>
            <w:r>
              <w:rPr>
                <w:rFonts w:hint="eastAsia" w:ascii="Times New Roman" w:hAnsi="Times New Roman"/>
                <w:color w:val="000000"/>
                <w:szCs w:val="21"/>
              </w:rPr>
              <w:t>”）（通过深圳福顺电力发展有限公司（“</w:t>
            </w:r>
            <w:r>
              <w:rPr>
                <w:rFonts w:hint="eastAsia" w:ascii="Times New Roman" w:hAnsi="Times New Roman"/>
                <w:b/>
                <w:color w:val="000000"/>
                <w:szCs w:val="21"/>
              </w:rPr>
              <w:t>深圳福顺</w:t>
            </w:r>
            <w:r>
              <w:rPr>
                <w:rFonts w:hint="eastAsia" w:ascii="Times New Roman" w:hAnsi="Times New Roman"/>
                <w:color w:val="000000"/>
                <w:szCs w:val="21"/>
              </w:rPr>
              <w:t>”）），以及广东惠州液化天然气有限公司（“</w:t>
            </w:r>
            <w:r>
              <w:rPr>
                <w:rFonts w:hint="eastAsia" w:ascii="Times New Roman" w:hAnsi="Times New Roman"/>
                <w:b/>
                <w:bCs/>
                <w:color w:val="000000"/>
                <w:szCs w:val="21"/>
              </w:rPr>
              <w:t>惠州液化天然气</w:t>
            </w:r>
            <w:r>
              <w:rPr>
                <w:rFonts w:hint="eastAsia" w:ascii="Times New Roman" w:hAnsi="Times New Roman"/>
                <w:color w:val="000000"/>
                <w:szCs w:val="21"/>
              </w:rPr>
              <w:t>”）签署增资认购协议。根据该协议，惠州液化天然气将增加注册资本，并将由埃克森美孚亚太和珠江投管全部认缴。</w:t>
            </w:r>
            <w:r>
              <w:rPr>
                <w:rFonts w:hint="eastAsia" w:cs="宋体"/>
                <w:color w:val="000000" w:themeColor="text1"/>
                <w:kern w:val="0"/>
                <w:szCs w:val="21"/>
                <w14:textFill>
                  <w14:solidFill>
                    <w14:schemeClr w14:val="tx1"/>
                  </w14:solidFill>
                </w14:textFill>
              </w:rPr>
              <w:t>拟议交易后，</w:t>
            </w:r>
            <w:r>
              <w:rPr>
                <w:rFonts w:hint="eastAsia" w:ascii="Times New Roman" w:hAnsi="Times New Roman"/>
                <w:color w:val="000000"/>
                <w:szCs w:val="21"/>
              </w:rPr>
              <w:t>广东能源集团天然气、埃克森美孚亚太（通过惠州液化天然气接收站投资）以及珠江投管（通过深圳福顺）将分别持有惠州液化天然气40%、30%，</w:t>
            </w:r>
            <w:bookmarkStart w:id="0" w:name="_GoBack"/>
            <w:bookmarkEnd w:id="0"/>
            <w:r>
              <w:rPr>
                <w:rFonts w:hint="eastAsia" w:ascii="Times New Roman" w:hAnsi="Times New Roman"/>
                <w:color w:val="000000"/>
                <w:szCs w:val="21"/>
              </w:rPr>
              <w:t>以及30%的股权。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tcPr>
          <w:p>
            <w:pPr>
              <w:spacing w:line="500" w:lineRule="exact"/>
              <w:rPr>
                <w:rFonts w:ascii="Times New Roman" w:hAnsi="Times New Roman"/>
                <w:b/>
                <w:bCs/>
                <w:szCs w:val="21"/>
              </w:rPr>
            </w:pPr>
            <w:r>
              <w:rPr>
                <w:rFonts w:ascii="Times New Roman" w:hAnsi="Times New Roman"/>
                <w:b/>
                <w:bCs/>
                <w:szCs w:val="21"/>
              </w:rPr>
              <w:t>参与集中的经营者简介</w:t>
            </w:r>
          </w:p>
        </w:tc>
        <w:tc>
          <w:tcPr>
            <w:tcW w:w="1796" w:type="dxa"/>
          </w:tcPr>
          <w:p>
            <w:pPr>
              <w:pStyle w:val="20"/>
              <w:numPr>
                <w:ilvl w:val="0"/>
                <w:numId w:val="1"/>
              </w:numPr>
              <w:spacing w:before="156" w:beforeLines="50" w:after="156" w:afterLines="50"/>
              <w:ind w:firstLineChars="0"/>
              <w:rPr>
                <w:rFonts w:ascii="Times New Roman" w:hAnsi="Times New Roman"/>
                <w:szCs w:val="21"/>
              </w:rPr>
            </w:pPr>
            <w:r>
              <w:rPr>
                <w:rFonts w:hint="eastAsia" w:ascii="Times New Roman" w:hAnsi="Times New Roman"/>
                <w:szCs w:val="21"/>
              </w:rPr>
              <w:t>埃克森美孚亚太</w:t>
            </w:r>
          </w:p>
        </w:tc>
        <w:tc>
          <w:tcPr>
            <w:tcW w:w="4754" w:type="dxa"/>
          </w:tcPr>
          <w:p>
            <w:pPr>
              <w:spacing w:before="156" w:beforeLines="50" w:after="156" w:afterLines="50"/>
              <w:rPr>
                <w:rFonts w:ascii="Times New Roman" w:hAnsi="Times New Roman"/>
                <w:szCs w:val="21"/>
              </w:rPr>
            </w:pPr>
            <w:r>
              <w:rPr>
                <w:rFonts w:hint="eastAsia" w:ascii="Times New Roman" w:hAnsi="Times New Roman"/>
                <w:szCs w:val="21"/>
              </w:rPr>
              <w:t>埃克森美孚亚太于1</w:t>
            </w:r>
            <w:r>
              <w:rPr>
                <w:rFonts w:ascii="Times New Roman" w:hAnsi="Times New Roman"/>
                <w:szCs w:val="21"/>
              </w:rPr>
              <w:t>968</w:t>
            </w:r>
            <w:r>
              <w:rPr>
                <w:rFonts w:hint="eastAsia" w:ascii="Times New Roman" w:hAnsi="Times New Roman"/>
                <w:szCs w:val="21"/>
              </w:rPr>
              <w:t>年在新加坡成立。其主要业务包括原油、石油产品和石化产品的冶炼和生产，原油、石油产品和石化产品、天然气、人工煤气的营销和贸易等。</w:t>
            </w:r>
            <w:r>
              <w:rPr>
                <w:rFonts w:hint="eastAsia"/>
                <w:color w:val="000000" w:themeColor="text1"/>
                <w:szCs w:val="21"/>
                <w14:textFill>
                  <w14:solidFill>
                    <w14:schemeClr w14:val="tx1"/>
                  </w14:solidFill>
                </w14:textFill>
              </w:rPr>
              <w:t>埃克森美孚公司（“</w:t>
            </w:r>
            <w:r>
              <w:rPr>
                <w:rFonts w:hint="eastAsia"/>
                <w:b/>
                <w:bCs/>
                <w:color w:val="000000" w:themeColor="text1"/>
                <w:szCs w:val="21"/>
                <w14:textFill>
                  <w14:solidFill>
                    <w14:schemeClr w14:val="tx1"/>
                  </w14:solidFill>
                </w14:textFill>
              </w:rPr>
              <w:t>埃克森美孚</w:t>
            </w:r>
            <w:r>
              <w:rPr>
                <w:rFonts w:hint="eastAsia"/>
                <w:color w:val="000000" w:themeColor="text1"/>
                <w:szCs w:val="21"/>
                <w14:textFill>
                  <w14:solidFill>
                    <w14:schemeClr w14:val="tx1"/>
                  </w14:solidFill>
                </w14:textFill>
              </w:rPr>
              <w:t>”）是埃克森美孚亚太的最终控制人，其主要业务包括全球范围内的原油和天然气勘探、开发、生产和销售，精炼石油产品的提炼和营销，各种化工产品的开发等。埃克森美孚通过其中国子公司及合营企业，主要从事石油化工和石油产品的生产和销售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tcPr>
          <w:p>
            <w:pPr>
              <w:spacing w:line="500" w:lineRule="exact"/>
              <w:rPr>
                <w:rFonts w:ascii="Times New Roman" w:hAnsi="Times New Roman"/>
                <w:szCs w:val="21"/>
              </w:rPr>
            </w:pPr>
          </w:p>
        </w:tc>
        <w:tc>
          <w:tcPr>
            <w:tcW w:w="1796" w:type="dxa"/>
          </w:tcPr>
          <w:p>
            <w:pPr>
              <w:pStyle w:val="20"/>
              <w:numPr>
                <w:ilvl w:val="0"/>
                <w:numId w:val="1"/>
              </w:numPr>
              <w:spacing w:before="156" w:beforeLines="50" w:after="156" w:afterLines="50"/>
              <w:ind w:firstLineChars="0"/>
              <w:rPr>
                <w:rFonts w:ascii="Times New Roman" w:hAnsi="Times New Roman"/>
                <w:szCs w:val="21"/>
              </w:rPr>
            </w:pPr>
            <w:r>
              <w:rPr>
                <w:rFonts w:hint="eastAsia" w:ascii="Times New Roman" w:hAnsi="Times New Roman"/>
                <w:szCs w:val="21"/>
              </w:rPr>
              <w:t>珠江投管</w:t>
            </w:r>
          </w:p>
        </w:tc>
        <w:tc>
          <w:tcPr>
            <w:tcW w:w="4754" w:type="dxa"/>
          </w:tcPr>
          <w:p>
            <w:pPr>
              <w:spacing w:before="156" w:beforeLines="50" w:after="156" w:afterLines="50"/>
              <w:rPr>
                <w:rFonts w:ascii="Times New Roman" w:hAnsi="Times New Roman"/>
                <w:color w:val="000000"/>
                <w:szCs w:val="21"/>
              </w:rPr>
            </w:pPr>
            <w:r>
              <w:rPr>
                <w:rFonts w:hint="eastAsia" w:ascii="Times New Roman" w:hAnsi="Times New Roman"/>
                <w:color w:val="000000"/>
                <w:szCs w:val="21"/>
              </w:rPr>
              <w:t>珠江投管于2</w:t>
            </w:r>
            <w:r>
              <w:rPr>
                <w:rFonts w:ascii="Times New Roman" w:hAnsi="Times New Roman"/>
                <w:color w:val="000000"/>
                <w:szCs w:val="21"/>
              </w:rPr>
              <w:t>001</w:t>
            </w:r>
            <w:r>
              <w:rPr>
                <w:rFonts w:hint="eastAsia" w:ascii="Times New Roman" w:hAnsi="Times New Roman"/>
                <w:color w:val="000000"/>
                <w:szCs w:val="21"/>
              </w:rPr>
              <w:t>年在广东省成立。珠江投管的主要业务包括煤炭开采、矿产开发、电力行业、铁路、公路、港口、通讯、电脑网络、环保、证券行业的投资及其管理等。珠江投管由中国籍自然人朱一航最终控制，朱一航主要从事投资及管理、项目投资，投资业务咨询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tcPr>
          <w:p>
            <w:pPr>
              <w:spacing w:line="500" w:lineRule="exact"/>
              <w:rPr>
                <w:rFonts w:ascii="Times New Roman" w:hAnsi="Times New Roman"/>
                <w:szCs w:val="21"/>
              </w:rPr>
            </w:pPr>
          </w:p>
        </w:tc>
        <w:tc>
          <w:tcPr>
            <w:tcW w:w="1796" w:type="dxa"/>
          </w:tcPr>
          <w:p>
            <w:pPr>
              <w:pStyle w:val="20"/>
              <w:numPr>
                <w:ilvl w:val="0"/>
                <w:numId w:val="1"/>
              </w:numPr>
              <w:spacing w:before="156" w:beforeLines="50" w:after="156" w:afterLines="50"/>
              <w:ind w:firstLineChars="0"/>
              <w:rPr>
                <w:rFonts w:ascii="Times New Roman" w:hAnsi="Times New Roman"/>
                <w:szCs w:val="21"/>
              </w:rPr>
            </w:pPr>
            <w:r>
              <w:rPr>
                <w:rFonts w:hint="eastAsia" w:ascii="Times New Roman" w:hAnsi="Times New Roman"/>
                <w:szCs w:val="21"/>
              </w:rPr>
              <w:t>广东能源集团天然气</w:t>
            </w:r>
          </w:p>
        </w:tc>
        <w:tc>
          <w:tcPr>
            <w:tcW w:w="4754" w:type="dxa"/>
          </w:tcPr>
          <w:p>
            <w:pPr>
              <w:spacing w:before="156" w:beforeLines="50" w:after="156" w:afterLines="50"/>
              <w:rPr>
                <w:rFonts w:ascii="Times New Roman" w:hAnsi="Times New Roman"/>
                <w:color w:val="000000"/>
                <w:szCs w:val="21"/>
              </w:rPr>
            </w:pPr>
            <w:r>
              <w:rPr>
                <w:rFonts w:hint="eastAsia" w:ascii="Times New Roman" w:hAnsi="Times New Roman"/>
                <w:color w:val="000000"/>
                <w:szCs w:val="21"/>
              </w:rPr>
              <w:t>广东能源集团天然气于2</w:t>
            </w:r>
            <w:r>
              <w:rPr>
                <w:rFonts w:ascii="Times New Roman" w:hAnsi="Times New Roman"/>
                <w:color w:val="000000"/>
                <w:szCs w:val="21"/>
              </w:rPr>
              <w:t>014</w:t>
            </w:r>
            <w:r>
              <w:rPr>
                <w:rFonts w:hint="eastAsia" w:ascii="Times New Roman" w:hAnsi="Times New Roman"/>
                <w:color w:val="000000"/>
                <w:szCs w:val="21"/>
              </w:rPr>
              <w:t>年在广东省成立，主要从事天然气（包括液化天然气）接收、储运、输送等项目的投资、建设、运营等。广东能源集团有限公司最终控制广东能源集团天然气，其主要业务包括火电、水电、风电、新能源、综合能源服务、天然气、燃料、航运、金融、境外投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tcPr>
          <w:p>
            <w:pPr>
              <w:spacing w:line="500" w:lineRule="exact"/>
              <w:rPr>
                <w:rFonts w:ascii="Times New Roman" w:hAnsi="Times New Roman"/>
                <w:b/>
                <w:bCs/>
                <w:szCs w:val="21"/>
              </w:rPr>
            </w:pPr>
            <w:r>
              <w:rPr>
                <w:rFonts w:ascii="Times New Roman" w:hAnsi="Times New Roman"/>
                <w:b/>
                <w:bCs/>
                <w:szCs w:val="21"/>
              </w:rPr>
              <w:t>简易案件理由（可以单选，也可以多选）</w:t>
            </w:r>
          </w:p>
        </w:tc>
        <w:tc>
          <w:tcPr>
            <w:tcW w:w="6550" w:type="dxa"/>
            <w:gridSpan w:val="2"/>
          </w:tcPr>
          <w:p>
            <w:pPr>
              <w:spacing w:line="500" w:lineRule="exact"/>
              <w:rPr>
                <w:rFonts w:ascii="Times New Roman" w:hAnsi="Times New Roman"/>
                <w:szCs w:val="21"/>
              </w:rPr>
            </w:pPr>
            <w:r>
              <w:rPr>
                <w:rFonts w:ascii="Times New Roman" w:hAnsi="Times New Roman" w:cs="Arial"/>
                <w:szCs w:val="21"/>
                <w:lang w:val="en-GB"/>
              </w:rPr>
              <w:sym w:font="Wingdings" w:char="F0A8"/>
            </w:r>
            <w:r>
              <w:rPr>
                <w:rFonts w:ascii="Times New Roman" w:hAnsi="Times New Roman"/>
                <w:szCs w:val="21"/>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tcPr>
          <w:p>
            <w:pPr>
              <w:spacing w:line="500" w:lineRule="exact"/>
              <w:rPr>
                <w:rFonts w:ascii="Times New Roman" w:hAnsi="Times New Roman"/>
                <w:szCs w:val="21"/>
              </w:rPr>
            </w:pPr>
          </w:p>
        </w:tc>
        <w:tc>
          <w:tcPr>
            <w:tcW w:w="6550" w:type="dxa"/>
            <w:gridSpan w:val="2"/>
          </w:tcPr>
          <w:p>
            <w:pPr>
              <w:spacing w:line="500" w:lineRule="exact"/>
              <w:rPr>
                <w:rFonts w:ascii="Times New Roman" w:hAnsi="Times New Roman"/>
                <w:szCs w:val="21"/>
              </w:rPr>
            </w:pPr>
            <w:r>
              <w:rPr>
                <w:rFonts w:ascii="Arial" w:hAnsi="Arial" w:eastAsia="黑体" w:cs="Arial"/>
                <w:szCs w:val="21"/>
                <w:lang w:val="en-GB"/>
              </w:rPr>
              <w:sym w:font="Wingdings" w:char="F0FE"/>
            </w:r>
            <w:r>
              <w:rPr>
                <w:rFonts w:ascii="Times New Roman" w:hAnsi="Times New Roman"/>
                <w:szCs w:val="21"/>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tcPr>
          <w:p>
            <w:pPr>
              <w:spacing w:line="500" w:lineRule="exact"/>
              <w:rPr>
                <w:rFonts w:ascii="Times New Roman" w:hAnsi="Times New Roman"/>
                <w:szCs w:val="21"/>
              </w:rPr>
            </w:pPr>
          </w:p>
        </w:tc>
        <w:tc>
          <w:tcPr>
            <w:tcW w:w="6550" w:type="dxa"/>
            <w:gridSpan w:val="2"/>
          </w:tcPr>
          <w:p>
            <w:pPr>
              <w:spacing w:line="500" w:lineRule="exact"/>
              <w:rPr>
                <w:rFonts w:ascii="Times New Roman" w:hAnsi="Times New Roman"/>
                <w:szCs w:val="21"/>
              </w:rPr>
            </w:pPr>
            <w:r>
              <w:rPr>
                <w:rFonts w:ascii="Arial" w:hAnsi="Arial" w:eastAsia="黑体" w:cs="Arial"/>
                <w:szCs w:val="21"/>
                <w:lang w:val="en-GB"/>
              </w:rPr>
              <w:sym w:font="Wingdings" w:char="F0FE"/>
            </w:r>
            <w:r>
              <w:rPr>
                <w:rFonts w:ascii="Times New Roman" w:hAnsi="Times New Roman"/>
                <w:szCs w:val="21"/>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tcPr>
          <w:p>
            <w:pPr>
              <w:spacing w:line="500" w:lineRule="exact"/>
              <w:rPr>
                <w:rFonts w:ascii="Times New Roman" w:hAnsi="Times New Roman"/>
                <w:szCs w:val="21"/>
              </w:rPr>
            </w:pPr>
          </w:p>
        </w:tc>
        <w:tc>
          <w:tcPr>
            <w:tcW w:w="6550" w:type="dxa"/>
            <w:gridSpan w:val="2"/>
          </w:tcPr>
          <w:p>
            <w:pPr>
              <w:spacing w:line="500" w:lineRule="exact"/>
              <w:rPr>
                <w:rFonts w:ascii="Times New Roman" w:hAnsi="Times New Roman"/>
                <w:szCs w:val="21"/>
              </w:rPr>
            </w:pPr>
            <w:r>
              <w:rPr>
                <w:rFonts w:ascii="Times New Roman" w:hAnsi="Times New Roman" w:cs="Arial"/>
                <w:szCs w:val="21"/>
                <w:lang w:val="en-GB"/>
              </w:rPr>
              <w:sym w:font="Wingdings" w:char="F0A8"/>
            </w:r>
            <w:r>
              <w:rPr>
                <w:rFonts w:ascii="Times New Roman" w:hAnsi="Times New Roman"/>
                <w:szCs w:val="21"/>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tcPr>
          <w:p>
            <w:pPr>
              <w:spacing w:line="500" w:lineRule="exact"/>
              <w:rPr>
                <w:rFonts w:ascii="Times New Roman" w:hAnsi="Times New Roman"/>
                <w:szCs w:val="21"/>
              </w:rPr>
            </w:pPr>
          </w:p>
        </w:tc>
        <w:tc>
          <w:tcPr>
            <w:tcW w:w="6550" w:type="dxa"/>
            <w:gridSpan w:val="2"/>
          </w:tcPr>
          <w:p>
            <w:pPr>
              <w:spacing w:line="500" w:lineRule="exact"/>
              <w:rPr>
                <w:rFonts w:ascii="Times New Roman" w:hAnsi="Times New Roman"/>
                <w:szCs w:val="21"/>
              </w:rPr>
            </w:pPr>
            <w:r>
              <w:rPr>
                <w:rFonts w:ascii="Times New Roman" w:hAnsi="Times New Roman" w:cs="Arial"/>
                <w:szCs w:val="21"/>
                <w:lang w:val="en-GB"/>
              </w:rPr>
              <w:sym w:font="Wingdings" w:char="F0A8"/>
            </w:r>
            <w:r>
              <w:rPr>
                <w:rFonts w:ascii="Times New Roman" w:hAnsi="Times New Roman"/>
                <w:szCs w:val="21"/>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tcPr>
          <w:p>
            <w:pPr>
              <w:spacing w:line="500" w:lineRule="exact"/>
              <w:rPr>
                <w:rFonts w:ascii="Times New Roman" w:hAnsi="Times New Roman"/>
                <w:szCs w:val="21"/>
              </w:rPr>
            </w:pPr>
          </w:p>
        </w:tc>
        <w:tc>
          <w:tcPr>
            <w:tcW w:w="6550" w:type="dxa"/>
            <w:gridSpan w:val="2"/>
          </w:tcPr>
          <w:p>
            <w:pPr>
              <w:spacing w:line="500" w:lineRule="exact"/>
              <w:rPr>
                <w:rFonts w:ascii="Times New Roman" w:hAnsi="Times New Roman"/>
                <w:szCs w:val="21"/>
              </w:rPr>
            </w:pPr>
            <w:r>
              <w:rPr>
                <w:rFonts w:ascii="Times New Roman" w:hAnsi="Times New Roman" w:cs="Arial"/>
                <w:szCs w:val="21"/>
                <w:lang w:val="en-GB"/>
              </w:rPr>
              <w:sym w:font="Wingdings" w:char="F0A8"/>
            </w:r>
            <w:r>
              <w:rPr>
                <w:rFonts w:ascii="Times New Roman" w:hAnsi="Times New Roman"/>
                <w:szCs w:val="21"/>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1809" w:type="dxa"/>
            <w:shd w:val="clear" w:color="auto" w:fill="D9D9D9"/>
          </w:tcPr>
          <w:p>
            <w:pPr>
              <w:spacing w:line="500" w:lineRule="exact"/>
              <w:rPr>
                <w:rFonts w:ascii="Times New Roman" w:hAnsi="Times New Roman"/>
                <w:b/>
                <w:bCs/>
                <w:szCs w:val="21"/>
              </w:rPr>
            </w:pPr>
            <w:r>
              <w:rPr>
                <w:rFonts w:ascii="Times New Roman" w:hAnsi="Times New Roman"/>
                <w:b/>
                <w:bCs/>
                <w:szCs w:val="21"/>
              </w:rPr>
              <w:t>备注</w:t>
            </w:r>
          </w:p>
        </w:tc>
        <w:tc>
          <w:tcPr>
            <w:tcW w:w="6550" w:type="dxa"/>
            <w:gridSpan w:val="2"/>
          </w:tcPr>
          <w:p>
            <w:pPr>
              <w:widowControl/>
              <w:snapToGrid w:val="0"/>
              <w:rPr>
                <w:rFonts w:ascii="Times New Roman" w:hAnsi="Times New Roman"/>
                <w:szCs w:val="21"/>
              </w:rPr>
            </w:pPr>
            <w:r>
              <w:rPr>
                <w:rFonts w:ascii="Times New Roman" w:hAnsi="Times New Roman"/>
                <w:szCs w:val="21"/>
              </w:rPr>
              <w:t>相关市场及市场份额</w:t>
            </w:r>
          </w:p>
          <w:p>
            <w:pPr>
              <w:widowControl/>
              <w:snapToGrid w:val="0"/>
              <w:rPr>
                <w:rFonts w:ascii="Times New Roman" w:hAnsi="Times New Roman"/>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1595"/>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shd w:val="clear" w:color="auto" w:fill="D0CECE" w:themeFill="background2" w:themeFillShade="E6"/>
                </w:tcPr>
                <w:p>
                  <w:pPr>
                    <w:rPr>
                      <w:rFonts w:ascii="Times New Roman" w:hAnsi="Times New Roman"/>
                      <w:b/>
                      <w:bCs/>
                      <w:szCs w:val="21"/>
                    </w:rPr>
                  </w:pPr>
                  <w:r>
                    <w:rPr>
                      <w:rFonts w:hint="eastAsia" w:ascii="Times New Roman" w:hAnsi="Times New Roman"/>
                      <w:b/>
                      <w:bCs/>
                      <w:szCs w:val="21"/>
                    </w:rPr>
                    <w:t>相关商品市场</w:t>
                  </w:r>
                </w:p>
              </w:tc>
              <w:tc>
                <w:tcPr>
                  <w:tcW w:w="1701" w:type="dxa"/>
                  <w:shd w:val="clear" w:color="auto" w:fill="D0CECE" w:themeFill="background2" w:themeFillShade="E6"/>
                </w:tcPr>
                <w:p>
                  <w:pPr>
                    <w:rPr>
                      <w:rFonts w:ascii="Times New Roman" w:hAnsi="Times New Roman"/>
                      <w:b/>
                      <w:bCs/>
                      <w:szCs w:val="21"/>
                    </w:rPr>
                  </w:pPr>
                  <w:r>
                    <w:rPr>
                      <w:rFonts w:hint="eastAsia" w:ascii="Times New Roman" w:hAnsi="Times New Roman"/>
                      <w:b/>
                      <w:bCs/>
                      <w:szCs w:val="21"/>
                    </w:rPr>
                    <w:t>相关地域市场</w:t>
                  </w:r>
                </w:p>
              </w:tc>
              <w:tc>
                <w:tcPr>
                  <w:tcW w:w="2690" w:type="dxa"/>
                  <w:shd w:val="clear" w:color="auto" w:fill="D0CECE" w:themeFill="background2" w:themeFillShade="E6"/>
                </w:tcPr>
                <w:p>
                  <w:pPr>
                    <w:rPr>
                      <w:rFonts w:ascii="Times New Roman" w:hAnsi="Times New Roman"/>
                      <w:b/>
                      <w:bCs/>
                      <w:szCs w:val="21"/>
                    </w:rPr>
                  </w:pPr>
                  <w:r>
                    <w:rPr>
                      <w:rFonts w:hint="eastAsia" w:ascii="Times New Roman" w:hAnsi="Times New Roman"/>
                      <w:b/>
                      <w:bCs/>
                      <w:szCs w:val="21"/>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tcPr>
                <w:p>
                  <w:pPr>
                    <w:rPr>
                      <w:rFonts w:ascii="Times New Roman" w:hAnsi="Times New Roman"/>
                      <w:szCs w:val="21"/>
                    </w:rPr>
                  </w:pPr>
                  <w:r>
                    <w:rPr>
                      <w:rFonts w:hint="eastAsia" w:ascii="Times New Roman" w:hAnsi="Times New Roman"/>
                      <w:szCs w:val="21"/>
                    </w:rPr>
                    <w:t>L</w:t>
                  </w:r>
                  <w:r>
                    <w:rPr>
                      <w:rFonts w:ascii="Times New Roman" w:hAnsi="Times New Roman"/>
                      <w:szCs w:val="21"/>
                    </w:rPr>
                    <w:t>NG</w:t>
                  </w:r>
                  <w:r>
                    <w:rPr>
                      <w:rFonts w:hint="eastAsia" w:ascii="Times New Roman" w:hAnsi="Times New Roman"/>
                      <w:szCs w:val="21"/>
                    </w:rPr>
                    <w:t>接收服务市场</w:t>
                  </w:r>
                </w:p>
              </w:tc>
              <w:tc>
                <w:tcPr>
                  <w:tcW w:w="1701" w:type="dxa"/>
                </w:tcPr>
                <w:p>
                  <w:pPr>
                    <w:rPr>
                      <w:rFonts w:ascii="Times New Roman" w:hAnsi="Times New Roman"/>
                      <w:szCs w:val="21"/>
                    </w:rPr>
                  </w:pPr>
                  <w:r>
                    <w:rPr>
                      <w:rFonts w:hint="eastAsia" w:ascii="Times New Roman" w:hAnsi="Times New Roman"/>
                      <w:szCs w:val="21"/>
                    </w:rPr>
                    <w:t>中国境内</w:t>
                  </w:r>
                </w:p>
              </w:tc>
              <w:tc>
                <w:tcPr>
                  <w:tcW w:w="2690" w:type="dxa"/>
                </w:tcPr>
                <w:p>
                  <w:pPr>
                    <w:rPr>
                      <w:rFonts w:ascii="Times New Roman" w:hAnsi="Times New Roman"/>
                      <w:szCs w:val="21"/>
                    </w:rPr>
                  </w:pPr>
                  <w:r>
                    <w:rPr>
                      <w:rFonts w:hint="eastAsia" w:ascii="Times New Roman" w:hAnsi="Times New Roman"/>
                      <w:szCs w:val="21"/>
                    </w:rPr>
                    <w:t>惠州L</w:t>
                  </w:r>
                  <w:r>
                    <w:rPr>
                      <w:rFonts w:ascii="Times New Roman" w:hAnsi="Times New Roman"/>
                      <w:szCs w:val="21"/>
                    </w:rPr>
                    <w:t>NG</w:t>
                  </w:r>
                  <w:r>
                    <w:rPr>
                      <w:rFonts w:hint="eastAsia" w:ascii="Times New Roman" w:hAnsi="Times New Roman"/>
                      <w:szCs w:val="21"/>
                    </w:rPr>
                    <w:t>：[</w:t>
                  </w:r>
                  <w:r>
                    <w:rPr>
                      <w:rFonts w:ascii="Times New Roman" w:hAnsi="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tcPr>
                <w:p>
                  <w:pPr>
                    <w:rPr>
                      <w:rFonts w:ascii="Times New Roman" w:hAnsi="Times New Roman"/>
                      <w:bCs/>
                      <w:szCs w:val="21"/>
                    </w:rPr>
                  </w:pPr>
                  <w:r>
                    <w:rPr>
                      <w:rFonts w:hint="eastAsia" w:ascii="Times New Roman" w:hAnsi="Times New Roman"/>
                      <w:bCs/>
                      <w:szCs w:val="21"/>
                    </w:rPr>
                    <w:t>天然气进口市场</w:t>
                  </w:r>
                </w:p>
              </w:tc>
              <w:tc>
                <w:tcPr>
                  <w:tcW w:w="1701" w:type="dxa"/>
                </w:tcPr>
                <w:p>
                  <w:pPr>
                    <w:rPr>
                      <w:rFonts w:ascii="Times New Roman" w:hAnsi="Times New Roman"/>
                      <w:szCs w:val="21"/>
                    </w:rPr>
                  </w:pPr>
                  <w:r>
                    <w:rPr>
                      <w:rFonts w:ascii="Times New Roman" w:hAnsi="Times New Roman"/>
                      <w:szCs w:val="21"/>
                    </w:rPr>
                    <w:t>中国境内</w:t>
                  </w:r>
                </w:p>
              </w:tc>
              <w:tc>
                <w:tcPr>
                  <w:tcW w:w="2690" w:type="dxa"/>
                </w:tcPr>
                <w:p>
                  <w:pPr>
                    <w:rPr>
                      <w:rFonts w:ascii="Times New Roman" w:hAnsi="Times New Roman"/>
                      <w:szCs w:val="21"/>
                    </w:rPr>
                  </w:pPr>
                  <w:r>
                    <w:rPr>
                      <w:rFonts w:hint="eastAsia" w:ascii="Times New Roman" w:hAnsi="Times New Roman"/>
                      <w:szCs w:val="21"/>
                    </w:rPr>
                    <w:t>埃克森美孚：[</w:t>
                  </w:r>
                  <w:r>
                    <w:rPr>
                      <w:rFonts w:ascii="Times New Roman" w:hAnsi="Times New Roman"/>
                      <w:szCs w:val="21"/>
                    </w:rPr>
                    <w:t>0-5]%</w:t>
                  </w:r>
                </w:p>
                <w:p>
                  <w:pPr>
                    <w:rPr>
                      <w:rFonts w:ascii="Times New Roman" w:hAnsi="Times New Roman"/>
                      <w:szCs w:val="21"/>
                    </w:rPr>
                  </w:pPr>
                  <w:r>
                    <w:rPr>
                      <w:rFonts w:hint="eastAsia" w:ascii="Times New Roman" w:hAnsi="Times New Roman"/>
                      <w:szCs w:val="21"/>
                    </w:rPr>
                    <w:t>广东能源集团：</w:t>
                  </w:r>
                  <w:r>
                    <w:rPr>
                      <w:rFonts w:ascii="Times New Roman" w:hAnsi="Times New Roman"/>
                      <w:szCs w:val="21"/>
                    </w:rPr>
                    <w:t>[0-5]%</w:t>
                  </w:r>
                </w:p>
                <w:p>
                  <w:pPr>
                    <w:rPr>
                      <w:rFonts w:ascii="Times New Roman" w:hAnsi="Times New Roman"/>
                      <w:szCs w:val="21"/>
                    </w:rPr>
                  </w:pPr>
                  <w:r>
                    <w:rPr>
                      <w:rFonts w:hint="eastAsia" w:ascii="Times New Roman" w:hAnsi="Times New Roman"/>
                      <w:szCs w:val="21"/>
                    </w:rPr>
                    <w:t>珠江投管集团：</w:t>
                  </w:r>
                  <w:r>
                    <w:rPr>
                      <w:rFonts w:ascii="Times New Roman" w:hAnsi="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2" w:type="dxa"/>
                </w:tcPr>
                <w:p>
                  <w:pPr>
                    <w:rPr>
                      <w:rFonts w:ascii="Times New Roman" w:hAnsi="Times New Roman"/>
                      <w:szCs w:val="21"/>
                    </w:rPr>
                  </w:pPr>
                  <w:r>
                    <w:rPr>
                      <w:rFonts w:hint="eastAsia" w:ascii="Times New Roman" w:hAnsi="Times New Roman"/>
                      <w:szCs w:val="21"/>
                    </w:rPr>
                    <w:t>天然气供应市场</w:t>
                  </w:r>
                </w:p>
              </w:tc>
              <w:tc>
                <w:tcPr>
                  <w:tcW w:w="1701" w:type="dxa"/>
                </w:tcPr>
                <w:p>
                  <w:pPr>
                    <w:rPr>
                      <w:rFonts w:ascii="Times New Roman" w:hAnsi="Times New Roman"/>
                      <w:szCs w:val="21"/>
                    </w:rPr>
                  </w:pPr>
                  <w:r>
                    <w:rPr>
                      <w:rFonts w:hint="eastAsia" w:ascii="Times New Roman" w:hAnsi="Times New Roman"/>
                      <w:szCs w:val="21"/>
                    </w:rPr>
                    <w:t>中国境内</w:t>
                  </w:r>
                </w:p>
              </w:tc>
              <w:tc>
                <w:tcPr>
                  <w:tcW w:w="2690" w:type="dxa"/>
                </w:tcPr>
                <w:p>
                  <w:pPr>
                    <w:rPr>
                      <w:rFonts w:ascii="Times New Roman" w:hAnsi="Times New Roman"/>
                      <w:szCs w:val="21"/>
                    </w:rPr>
                  </w:pPr>
                  <w:r>
                    <w:rPr>
                      <w:rFonts w:hint="eastAsia" w:ascii="Times New Roman" w:hAnsi="Times New Roman"/>
                      <w:szCs w:val="21"/>
                    </w:rPr>
                    <w:t>埃克森美孚：[</w:t>
                  </w:r>
                  <w:r>
                    <w:rPr>
                      <w:rFonts w:ascii="Times New Roman" w:hAnsi="Times New Roman"/>
                      <w:szCs w:val="21"/>
                    </w:rPr>
                    <w:t>0-5]%</w:t>
                  </w:r>
                </w:p>
                <w:p>
                  <w:pPr>
                    <w:rPr>
                      <w:rFonts w:ascii="Times New Roman" w:hAnsi="Times New Roman"/>
                      <w:szCs w:val="21"/>
                    </w:rPr>
                  </w:pPr>
                  <w:r>
                    <w:rPr>
                      <w:rFonts w:hint="eastAsia" w:ascii="Times New Roman" w:hAnsi="Times New Roman"/>
                      <w:szCs w:val="21"/>
                    </w:rPr>
                    <w:t>广东能源集团：</w:t>
                  </w:r>
                  <w:r>
                    <w:rPr>
                      <w:rFonts w:ascii="Times New Roman" w:hAnsi="Times New Roman"/>
                      <w:szCs w:val="21"/>
                    </w:rPr>
                    <w:t>[0-5]%</w:t>
                  </w:r>
                </w:p>
                <w:p>
                  <w:pPr>
                    <w:rPr>
                      <w:rFonts w:ascii="Times New Roman" w:hAnsi="Times New Roman"/>
                      <w:szCs w:val="21"/>
                    </w:rPr>
                  </w:pPr>
                  <w:r>
                    <w:rPr>
                      <w:rFonts w:hint="eastAsia" w:ascii="Times New Roman" w:hAnsi="Times New Roman"/>
                      <w:szCs w:val="21"/>
                    </w:rPr>
                    <w:t>珠江投管集团：</w:t>
                  </w:r>
                  <w:r>
                    <w:rPr>
                      <w:rFonts w:ascii="Times New Roman" w:hAnsi="Times New Roman"/>
                      <w:szCs w:val="21"/>
                    </w:rPr>
                    <w:t>[0-5]%</w:t>
                  </w:r>
                </w:p>
              </w:tc>
            </w:tr>
          </w:tbl>
          <w:p>
            <w:pPr>
              <w:widowControl/>
              <w:snapToGrid w:val="0"/>
              <w:ind w:left="420"/>
              <w:rPr>
                <w:rFonts w:ascii="Times New Roman" w:hAnsi="Times New Roman"/>
                <w:szCs w:val="21"/>
              </w:rPr>
            </w:pPr>
          </w:p>
        </w:tc>
      </w:tr>
    </w:tbl>
    <w:p>
      <w:pPr>
        <w:snapToGrid w:val="0"/>
        <w:spacing w:line="240" w:lineRule="exact"/>
        <w:jc w:val="left"/>
        <w:rPr>
          <w:rFonts w:ascii="Times New Roman" w:hAnsi="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文泉驿微米黑"/>
    <w:panose1 w:val="02010601000101010101"/>
    <w:charset w:val="88"/>
    <w:family w:val="auto"/>
    <w:pitch w:val="default"/>
    <w:sig w:usb0="00000000" w:usb1="00000000" w:usb2="00000010" w:usb3="00000000" w:csb0="0010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376438"/>
      <w:docPartObj>
        <w:docPartGallery w:val="AutoText"/>
      </w:docPartObj>
    </w:sdtPr>
    <w:sdtEndPr>
      <w:rPr>
        <w:rFonts w:ascii="Times New Roman" w:hAnsi="Times New Roman"/>
      </w:rPr>
    </w:sdtEndPr>
    <w:sdtContent>
      <w:sdt>
        <w:sdtPr>
          <w:id w:val="1728636285"/>
          <w:docPartObj>
            <w:docPartGallery w:val="AutoText"/>
          </w:docPartObj>
        </w:sdtPr>
        <w:sdtEndPr>
          <w:rPr>
            <w:rFonts w:ascii="Times New Roman" w:hAnsi="Times New Roman"/>
          </w:rPr>
        </w:sdtEndPr>
        <w:sdtContent>
          <w:p>
            <w:pPr>
              <w:pStyle w:val="5"/>
              <w:jc w:val="center"/>
              <w:rPr>
                <w:rFonts w:ascii="Times New Roman" w:hAnsi="Times New Roman"/>
              </w:rPr>
            </w:pP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2</w:t>
            </w:r>
            <w:r>
              <w:rPr>
                <w:rFonts w:ascii="Times New Roman" w:hAnsi="Times New Roman"/>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A4903"/>
    <w:multiLevelType w:val="multilevel"/>
    <w:tmpl w:val="1C6A49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95"/>
    <w:rsid w:val="00005B69"/>
    <w:rsid w:val="00006080"/>
    <w:rsid w:val="0002587C"/>
    <w:rsid w:val="00045507"/>
    <w:rsid w:val="00054139"/>
    <w:rsid w:val="0005594E"/>
    <w:rsid w:val="00082738"/>
    <w:rsid w:val="00087D30"/>
    <w:rsid w:val="000917F0"/>
    <w:rsid w:val="00094095"/>
    <w:rsid w:val="000A3CA7"/>
    <w:rsid w:val="000B0EC8"/>
    <w:rsid w:val="000C5BC7"/>
    <w:rsid w:val="000E7FC9"/>
    <w:rsid w:val="00100B60"/>
    <w:rsid w:val="00107788"/>
    <w:rsid w:val="00113543"/>
    <w:rsid w:val="00117B9E"/>
    <w:rsid w:val="00126356"/>
    <w:rsid w:val="00137BCF"/>
    <w:rsid w:val="001417D8"/>
    <w:rsid w:val="00165964"/>
    <w:rsid w:val="001913F9"/>
    <w:rsid w:val="00192C2C"/>
    <w:rsid w:val="00193065"/>
    <w:rsid w:val="001C1B23"/>
    <w:rsid w:val="001E393B"/>
    <w:rsid w:val="0020313A"/>
    <w:rsid w:val="002128F6"/>
    <w:rsid w:val="002158DC"/>
    <w:rsid w:val="00233AB0"/>
    <w:rsid w:val="00245776"/>
    <w:rsid w:val="00262658"/>
    <w:rsid w:val="00266A6B"/>
    <w:rsid w:val="0029252D"/>
    <w:rsid w:val="002E2C9F"/>
    <w:rsid w:val="002E720A"/>
    <w:rsid w:val="002F2D60"/>
    <w:rsid w:val="00302FE1"/>
    <w:rsid w:val="003048E8"/>
    <w:rsid w:val="003061D7"/>
    <w:rsid w:val="00307976"/>
    <w:rsid w:val="0031093F"/>
    <w:rsid w:val="003145BC"/>
    <w:rsid w:val="00316B15"/>
    <w:rsid w:val="0032355A"/>
    <w:rsid w:val="003C306B"/>
    <w:rsid w:val="003C75D7"/>
    <w:rsid w:val="003D3128"/>
    <w:rsid w:val="003D60DB"/>
    <w:rsid w:val="003F170C"/>
    <w:rsid w:val="004030E1"/>
    <w:rsid w:val="00427074"/>
    <w:rsid w:val="00440FC7"/>
    <w:rsid w:val="00445F6B"/>
    <w:rsid w:val="00462174"/>
    <w:rsid w:val="004B00C8"/>
    <w:rsid w:val="004B3A56"/>
    <w:rsid w:val="004C2586"/>
    <w:rsid w:val="00507D9C"/>
    <w:rsid w:val="00543620"/>
    <w:rsid w:val="00557102"/>
    <w:rsid w:val="00563A4C"/>
    <w:rsid w:val="00566CC7"/>
    <w:rsid w:val="00574F2D"/>
    <w:rsid w:val="00580090"/>
    <w:rsid w:val="0058232E"/>
    <w:rsid w:val="005B533D"/>
    <w:rsid w:val="005C3D32"/>
    <w:rsid w:val="005D1309"/>
    <w:rsid w:val="005D1B7F"/>
    <w:rsid w:val="005F167B"/>
    <w:rsid w:val="005F5FFA"/>
    <w:rsid w:val="006113D3"/>
    <w:rsid w:val="00616F24"/>
    <w:rsid w:val="006300C0"/>
    <w:rsid w:val="006447F2"/>
    <w:rsid w:val="00644C5B"/>
    <w:rsid w:val="0067330C"/>
    <w:rsid w:val="00675286"/>
    <w:rsid w:val="00692DA5"/>
    <w:rsid w:val="006A4D58"/>
    <w:rsid w:val="006A4F76"/>
    <w:rsid w:val="006A5728"/>
    <w:rsid w:val="006B49BF"/>
    <w:rsid w:val="006D0734"/>
    <w:rsid w:val="006E4C68"/>
    <w:rsid w:val="00720227"/>
    <w:rsid w:val="00720679"/>
    <w:rsid w:val="007364E2"/>
    <w:rsid w:val="0074694B"/>
    <w:rsid w:val="0075266D"/>
    <w:rsid w:val="00785C5F"/>
    <w:rsid w:val="007A0249"/>
    <w:rsid w:val="007C000E"/>
    <w:rsid w:val="007C7803"/>
    <w:rsid w:val="007E3D35"/>
    <w:rsid w:val="008010AD"/>
    <w:rsid w:val="0080386C"/>
    <w:rsid w:val="008354FF"/>
    <w:rsid w:val="0084303C"/>
    <w:rsid w:val="00864C75"/>
    <w:rsid w:val="008736FC"/>
    <w:rsid w:val="008750C5"/>
    <w:rsid w:val="008764AD"/>
    <w:rsid w:val="00877D76"/>
    <w:rsid w:val="00885D99"/>
    <w:rsid w:val="008926BD"/>
    <w:rsid w:val="0089745C"/>
    <w:rsid w:val="008A7ED7"/>
    <w:rsid w:val="008C10CC"/>
    <w:rsid w:val="008F634B"/>
    <w:rsid w:val="00900557"/>
    <w:rsid w:val="009134D0"/>
    <w:rsid w:val="0093344B"/>
    <w:rsid w:val="0095347A"/>
    <w:rsid w:val="009733B4"/>
    <w:rsid w:val="0097529A"/>
    <w:rsid w:val="00997099"/>
    <w:rsid w:val="009A486A"/>
    <w:rsid w:val="009A7BF2"/>
    <w:rsid w:val="009B22D1"/>
    <w:rsid w:val="009B5555"/>
    <w:rsid w:val="009C1D9D"/>
    <w:rsid w:val="009C5ACB"/>
    <w:rsid w:val="009E544B"/>
    <w:rsid w:val="009F7FE9"/>
    <w:rsid w:val="00A43A3E"/>
    <w:rsid w:val="00A67610"/>
    <w:rsid w:val="00A73519"/>
    <w:rsid w:val="00A73EC0"/>
    <w:rsid w:val="00A77BD3"/>
    <w:rsid w:val="00AA1A78"/>
    <w:rsid w:val="00AB1BC4"/>
    <w:rsid w:val="00AD646B"/>
    <w:rsid w:val="00AE4C10"/>
    <w:rsid w:val="00B01090"/>
    <w:rsid w:val="00B34D88"/>
    <w:rsid w:val="00B357DC"/>
    <w:rsid w:val="00B60E5E"/>
    <w:rsid w:val="00BA0750"/>
    <w:rsid w:val="00BA16D2"/>
    <w:rsid w:val="00BA4F7F"/>
    <w:rsid w:val="00BA6F07"/>
    <w:rsid w:val="00BA7437"/>
    <w:rsid w:val="00BB2377"/>
    <w:rsid w:val="00BB3798"/>
    <w:rsid w:val="00BB4C43"/>
    <w:rsid w:val="00BC44C2"/>
    <w:rsid w:val="00BC6BEF"/>
    <w:rsid w:val="00BD3D34"/>
    <w:rsid w:val="00BD6EBE"/>
    <w:rsid w:val="00BF0D84"/>
    <w:rsid w:val="00BF6C60"/>
    <w:rsid w:val="00BF7F17"/>
    <w:rsid w:val="00C068D5"/>
    <w:rsid w:val="00C20325"/>
    <w:rsid w:val="00C318CE"/>
    <w:rsid w:val="00C52346"/>
    <w:rsid w:val="00C57A15"/>
    <w:rsid w:val="00C76979"/>
    <w:rsid w:val="00C8184D"/>
    <w:rsid w:val="00C9068E"/>
    <w:rsid w:val="00C908BD"/>
    <w:rsid w:val="00CD148B"/>
    <w:rsid w:val="00CD25EE"/>
    <w:rsid w:val="00CD2BEC"/>
    <w:rsid w:val="00CE1429"/>
    <w:rsid w:val="00D001A9"/>
    <w:rsid w:val="00D21777"/>
    <w:rsid w:val="00D2453A"/>
    <w:rsid w:val="00D370A7"/>
    <w:rsid w:val="00D451A4"/>
    <w:rsid w:val="00D515E7"/>
    <w:rsid w:val="00D73A38"/>
    <w:rsid w:val="00DA3B19"/>
    <w:rsid w:val="00DB3969"/>
    <w:rsid w:val="00DC70AB"/>
    <w:rsid w:val="00DE39D7"/>
    <w:rsid w:val="00DE7DBD"/>
    <w:rsid w:val="00DF4BCE"/>
    <w:rsid w:val="00E11C0D"/>
    <w:rsid w:val="00E25016"/>
    <w:rsid w:val="00E32A0C"/>
    <w:rsid w:val="00E34BA1"/>
    <w:rsid w:val="00E54B29"/>
    <w:rsid w:val="00EB0EE6"/>
    <w:rsid w:val="00EC669A"/>
    <w:rsid w:val="00ED21B1"/>
    <w:rsid w:val="00ED4254"/>
    <w:rsid w:val="00EE2784"/>
    <w:rsid w:val="00EE4AF0"/>
    <w:rsid w:val="00F12E1D"/>
    <w:rsid w:val="00F16269"/>
    <w:rsid w:val="00F234B2"/>
    <w:rsid w:val="00F26A0F"/>
    <w:rsid w:val="00F418F4"/>
    <w:rsid w:val="00F41E5F"/>
    <w:rsid w:val="00F42BAC"/>
    <w:rsid w:val="00F5086B"/>
    <w:rsid w:val="00F87C1F"/>
    <w:rsid w:val="00FD4A2C"/>
    <w:rsid w:val="00FE3C66"/>
    <w:rsid w:val="00FE4CAC"/>
    <w:rsid w:val="00FF2D6D"/>
    <w:rsid w:val="EEFB0931"/>
    <w:rsid w:val="FBBF5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endnote text"/>
    <w:basedOn w:val="1"/>
    <w:link w:val="15"/>
    <w:semiHidden/>
    <w:unhideWhenUsed/>
    <w:qFormat/>
    <w:uiPriority w:val="99"/>
    <w:pPr>
      <w:snapToGrid w:val="0"/>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semiHidden/>
    <w:qFormat/>
    <w:uiPriority w:val="99"/>
    <w:pPr>
      <w:snapToGrid w:val="0"/>
      <w:jc w:val="left"/>
    </w:pPr>
    <w:rPr>
      <w:rFonts w:ascii="Times New Roman" w:hAnsi="Times New Roman" w:eastAsia="PMingLiU"/>
      <w:sz w:val="20"/>
      <w:szCs w:val="20"/>
      <w:lang w:eastAsia="zh-TW"/>
    </w:rPr>
  </w:style>
  <w:style w:type="paragraph" w:styleId="8">
    <w:name w:val="annotation subject"/>
    <w:basedOn w:val="2"/>
    <w:next w:val="2"/>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semiHidden/>
    <w:unhideWhenUsed/>
    <w:qFormat/>
    <w:uiPriority w:val="99"/>
    <w:rPr>
      <w:vertAlign w:val="superscript"/>
    </w:rPr>
  </w:style>
  <w:style w:type="character" w:styleId="13">
    <w:name w:val="annotation reference"/>
    <w:basedOn w:val="11"/>
    <w:unhideWhenUsed/>
    <w:qFormat/>
    <w:uiPriority w:val="0"/>
    <w:rPr>
      <w:sz w:val="21"/>
      <w:szCs w:val="21"/>
    </w:rPr>
  </w:style>
  <w:style w:type="character" w:styleId="14">
    <w:name w:val="footnote reference"/>
    <w:semiHidden/>
    <w:unhideWhenUsed/>
    <w:qFormat/>
    <w:uiPriority w:val="99"/>
    <w:rPr>
      <w:vertAlign w:val="superscript"/>
    </w:rPr>
  </w:style>
  <w:style w:type="character" w:customStyle="1" w:styleId="15">
    <w:name w:val="尾注文本 Char"/>
    <w:basedOn w:val="11"/>
    <w:link w:val="3"/>
    <w:semiHidden/>
    <w:qFormat/>
    <w:uiPriority w:val="99"/>
  </w:style>
  <w:style w:type="character" w:customStyle="1" w:styleId="16">
    <w:name w:val="页眉 Char"/>
    <w:link w:val="6"/>
    <w:qFormat/>
    <w:uiPriority w:val="99"/>
    <w:rPr>
      <w:sz w:val="18"/>
      <w:szCs w:val="18"/>
    </w:rPr>
  </w:style>
  <w:style w:type="character" w:customStyle="1" w:styleId="17">
    <w:name w:val="页脚 Char"/>
    <w:link w:val="5"/>
    <w:qFormat/>
    <w:uiPriority w:val="99"/>
    <w:rPr>
      <w:sz w:val="18"/>
      <w:szCs w:val="18"/>
    </w:rPr>
  </w:style>
  <w:style w:type="character" w:customStyle="1" w:styleId="18">
    <w:name w:val="批注框文本 Char"/>
    <w:link w:val="4"/>
    <w:semiHidden/>
    <w:qFormat/>
    <w:uiPriority w:val="99"/>
    <w:rPr>
      <w:kern w:val="2"/>
      <w:sz w:val="18"/>
      <w:szCs w:val="18"/>
    </w:rPr>
  </w:style>
  <w:style w:type="paragraph" w:customStyle="1" w:styleId="19">
    <w:name w:val="列出段落1"/>
    <w:basedOn w:val="1"/>
    <w:qFormat/>
    <w:uiPriority w:val="34"/>
    <w:pPr>
      <w:ind w:firstLine="420" w:firstLineChars="200"/>
    </w:pPr>
  </w:style>
  <w:style w:type="paragraph" w:styleId="20">
    <w:name w:val="List Paragraph"/>
    <w:basedOn w:val="1"/>
    <w:qFormat/>
    <w:uiPriority w:val="34"/>
    <w:pPr>
      <w:ind w:firstLine="420" w:firstLineChars="200"/>
    </w:pPr>
  </w:style>
  <w:style w:type="character" w:customStyle="1" w:styleId="21">
    <w:name w:val="脚注文本 Char"/>
    <w:link w:val="7"/>
    <w:semiHidden/>
    <w:qFormat/>
    <w:uiPriority w:val="99"/>
    <w:rPr>
      <w:rFonts w:ascii="Times New Roman" w:hAnsi="Times New Roman" w:eastAsia="PMingLiU"/>
      <w:kern w:val="2"/>
      <w:lang w:eastAsia="zh-TW"/>
    </w:rPr>
  </w:style>
  <w:style w:type="character" w:customStyle="1" w:styleId="22">
    <w:name w:val="批注文字 Char"/>
    <w:basedOn w:val="11"/>
    <w:link w:val="2"/>
    <w:semiHidden/>
    <w:qFormat/>
    <w:uiPriority w:val="99"/>
    <w:rPr>
      <w:kern w:val="2"/>
      <w:sz w:val="21"/>
      <w:szCs w:val="22"/>
    </w:rPr>
  </w:style>
  <w:style w:type="character" w:customStyle="1" w:styleId="23">
    <w:name w:val="批注主题 Char"/>
    <w:basedOn w:val="22"/>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新日鐵住金株式会社</Company>
  <Pages>2</Pages>
  <Words>202</Words>
  <Characters>1158</Characters>
  <Lines>9</Lines>
  <Paragraphs>2</Paragraphs>
  <TotalTime>41</TotalTime>
  <ScaleCrop>false</ScaleCrop>
  <LinksUpToDate>false</LinksUpToDate>
  <CharactersWithSpaces>1358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2021-05-07T09:42:00Z</dcterms:created>
  <dc:creator>dell</dc:creator>
  <cp:lastModifiedBy>greatwall</cp:lastModifiedBy>
  <cp:lastPrinted>2017-01-18T15:04:00Z</cp:lastPrinted>
  <dcterms:modified xsi:type="dcterms:W3CDTF">2021-12-16T08:51:57Z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