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E46A" w14:textId="36E22CAC" w:rsidR="007256D9" w:rsidRDefault="00ED71C6">
      <w:pPr>
        <w:jc w:val="center"/>
        <w:rPr>
          <w:rFonts w:ascii="SimHei" w:eastAsia="SimHei" w:hAnsi="SimHei" w:cs="SimHei"/>
          <w:bCs/>
          <w:sz w:val="36"/>
          <w:szCs w:val="36"/>
        </w:rPr>
      </w:pPr>
      <w:r>
        <w:rPr>
          <w:rFonts w:ascii="SimHei" w:eastAsia="SimHei" w:hAnsi="SimHei" w:cs="SimHei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551"/>
        <w:gridCol w:w="5500"/>
      </w:tblGrid>
      <w:tr w:rsidR="007256D9" w:rsidRPr="00C47B25" w14:paraId="78E41D81" w14:textId="77777777" w:rsidTr="007E645D">
        <w:trPr>
          <w:trHeight w:val="458"/>
        </w:trPr>
        <w:tc>
          <w:tcPr>
            <w:tcW w:w="1589" w:type="dxa"/>
            <w:shd w:val="clear" w:color="auto" w:fill="D9D9D9"/>
            <w:vAlign w:val="center"/>
          </w:tcPr>
          <w:p w14:paraId="2C7573F3" w14:textId="77777777" w:rsidR="007256D9" w:rsidRPr="00C47B25" w:rsidRDefault="00ED71C6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proofErr w:type="spellStart"/>
            <w:r w:rsidRPr="00C47B25">
              <w:rPr>
                <w:rFonts w:ascii="宋体" w:hAnsi="宋体"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8051" w:type="dxa"/>
            <w:gridSpan w:val="2"/>
            <w:vAlign w:val="center"/>
          </w:tcPr>
          <w:p w14:paraId="509ED87D" w14:textId="110A8360" w:rsidR="007256D9" w:rsidRPr="00C47B25" w:rsidRDefault="00E36B9C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 w:rsidRPr="00E36B9C">
              <w:rPr>
                <w:rFonts w:ascii="宋体" w:hAnsi="宋体" w:cs="宋体" w:hint="eastAsia"/>
                <w:bCs/>
                <w:color w:val="000000"/>
                <w:lang w:val="en-US"/>
              </w:rPr>
              <w:t>汇丰银行有限公司与安盛股份公司收购i</w:t>
            </w:r>
            <w:r w:rsidRPr="00E36B9C">
              <w:rPr>
                <w:rFonts w:ascii="宋体" w:hAnsi="宋体" w:cs="宋体"/>
                <w:bCs/>
                <w:color w:val="000000"/>
                <w:lang w:val="en-US"/>
              </w:rPr>
              <w:t>ntu Milton Keynes Limited</w:t>
            </w:r>
            <w:r w:rsidRPr="00E36B9C">
              <w:rPr>
                <w:rFonts w:ascii="宋体" w:hAnsi="宋体" w:cs="宋体" w:hint="eastAsia"/>
                <w:bCs/>
                <w:color w:val="000000"/>
                <w:lang w:val="en-US"/>
              </w:rPr>
              <w:t>股权案</w:t>
            </w:r>
            <w:r w:rsidR="008727CC">
              <w:rPr>
                <w:rFonts w:ascii="宋体" w:hAnsi="宋体" w:cs="宋体" w:hint="eastAsia"/>
                <w:bCs/>
                <w:color w:val="000000"/>
                <w:lang w:val="en-US"/>
              </w:rPr>
              <w:t>（“</w:t>
            </w:r>
            <w:r w:rsidR="008727CC" w:rsidRPr="008727CC">
              <w:rPr>
                <w:rFonts w:ascii="宋体" w:hAnsi="宋体" w:cs="宋体" w:hint="eastAsia"/>
                <w:b/>
                <w:color w:val="000000"/>
                <w:lang w:val="en-US"/>
              </w:rPr>
              <w:t>本交易</w:t>
            </w:r>
            <w:r w:rsidR="008727CC">
              <w:rPr>
                <w:rFonts w:ascii="宋体" w:hAnsi="宋体" w:cs="宋体" w:hint="eastAsia"/>
                <w:bCs/>
                <w:color w:val="000000"/>
                <w:lang w:val="en-US"/>
              </w:rPr>
              <w:t>”）</w:t>
            </w:r>
          </w:p>
        </w:tc>
      </w:tr>
      <w:tr w:rsidR="007256D9" w:rsidRPr="008313F2" w14:paraId="65B24027" w14:textId="77777777" w:rsidTr="00C47B25">
        <w:trPr>
          <w:trHeight w:val="1391"/>
        </w:trPr>
        <w:tc>
          <w:tcPr>
            <w:tcW w:w="1589" w:type="dxa"/>
            <w:shd w:val="clear" w:color="auto" w:fill="D9D9D9"/>
            <w:vAlign w:val="center"/>
          </w:tcPr>
          <w:p w14:paraId="624CE5DB" w14:textId="77777777" w:rsidR="007256D9" w:rsidRPr="00C47B25" w:rsidRDefault="00ED71C6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8051" w:type="dxa"/>
            <w:gridSpan w:val="2"/>
            <w:vAlign w:val="center"/>
          </w:tcPr>
          <w:p w14:paraId="2CCAA532" w14:textId="61399BAA" w:rsidR="008727CC" w:rsidRDefault="008727CC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val="en-US"/>
              </w:rPr>
              <w:t>本交易涉及</w:t>
            </w:r>
            <w:r w:rsidRPr="008727CC">
              <w:rPr>
                <w:rFonts w:ascii="宋体" w:hAnsi="宋体" w:cs="宋体" w:hint="eastAsia"/>
                <w:bCs/>
                <w:color w:val="000000"/>
              </w:rPr>
              <w:t>汇丰银行有限公司</w:t>
            </w:r>
            <w:r>
              <w:rPr>
                <w:rFonts w:ascii="宋体" w:hAnsi="宋体" w:cs="宋体" w:hint="eastAsia"/>
                <w:bCs/>
                <w:color w:val="000000"/>
              </w:rPr>
              <w:t>（“</w:t>
            </w:r>
            <w:r w:rsidRPr="008727CC">
              <w:rPr>
                <w:rFonts w:ascii="宋体" w:hAnsi="宋体" w:cs="宋体" w:hint="eastAsia"/>
                <w:b/>
                <w:color w:val="000000"/>
              </w:rPr>
              <w:t>H</w:t>
            </w:r>
            <w:r w:rsidRPr="008727CC">
              <w:rPr>
                <w:rFonts w:ascii="宋体" w:hAnsi="宋体" w:cs="宋体"/>
                <w:b/>
                <w:color w:val="000000"/>
              </w:rPr>
              <w:t>SBC</w:t>
            </w:r>
            <w:r>
              <w:rPr>
                <w:rFonts w:ascii="宋体" w:hAnsi="宋体" w:cs="宋体" w:hint="eastAsia"/>
                <w:bCs/>
                <w:color w:val="000000"/>
              </w:rPr>
              <w:t>”）与</w:t>
            </w:r>
            <w:r w:rsidRPr="008727CC">
              <w:rPr>
                <w:rFonts w:ascii="宋体" w:hAnsi="宋体" w:cs="宋体" w:hint="eastAsia"/>
                <w:bCs/>
                <w:color w:val="000000"/>
              </w:rPr>
              <w:t>安盛</w:t>
            </w:r>
            <w:r w:rsidR="00E36B9C" w:rsidRPr="00E36B9C">
              <w:rPr>
                <w:rFonts w:ascii="宋体" w:hAnsi="宋体" w:cs="宋体" w:hint="eastAsia"/>
                <w:bCs/>
                <w:color w:val="000000"/>
                <w:lang w:val="en-US"/>
              </w:rPr>
              <w:t>股份公司</w:t>
            </w:r>
            <w:r>
              <w:rPr>
                <w:rFonts w:ascii="宋体" w:hAnsi="宋体" w:hint="eastAsia"/>
              </w:rPr>
              <w:t>（“</w:t>
            </w:r>
            <w:r>
              <w:rPr>
                <w:rFonts w:ascii="宋体" w:hAnsi="宋体" w:hint="eastAsia"/>
                <w:b/>
                <w:bCs/>
              </w:rPr>
              <w:t>安盛</w:t>
            </w:r>
            <w:r>
              <w:rPr>
                <w:rFonts w:ascii="宋体" w:hAnsi="宋体" w:hint="eastAsia"/>
              </w:rPr>
              <w:t>”）</w:t>
            </w:r>
            <w:r w:rsidR="00E36B9C">
              <w:rPr>
                <w:rFonts w:ascii="宋体" w:hAnsi="宋体" w:hint="eastAsia"/>
              </w:rPr>
              <w:t>间接控制的实体</w:t>
            </w:r>
            <w:r>
              <w:rPr>
                <w:rFonts w:ascii="宋体" w:hAnsi="宋体" w:hint="eastAsia"/>
              </w:rPr>
              <w:t>全权管理的</w:t>
            </w:r>
            <w:r w:rsidR="00E36B9C">
              <w:rPr>
                <w:rFonts w:ascii="宋体" w:hAnsi="宋体" w:hint="eastAsia"/>
              </w:rPr>
              <w:t>多个</w:t>
            </w:r>
            <w:r>
              <w:rPr>
                <w:rFonts w:ascii="宋体" w:hAnsi="宋体" w:hint="eastAsia"/>
              </w:rPr>
              <w:t>实体对</w:t>
            </w:r>
            <w:r w:rsidRPr="008727CC">
              <w:rPr>
                <w:rFonts w:ascii="宋体" w:hAnsi="宋体" w:cs="宋体"/>
                <w:bCs/>
                <w:color w:val="000000"/>
              </w:rPr>
              <w:t>intu Milton Keynes Limited</w:t>
            </w:r>
            <w:r>
              <w:rPr>
                <w:rFonts w:ascii="宋体" w:hAnsi="宋体" w:cs="宋体" w:hint="eastAsia"/>
                <w:bCs/>
                <w:color w:val="000000"/>
              </w:rPr>
              <w:t>（“</w:t>
            </w:r>
            <w:r w:rsidRPr="008727CC">
              <w:rPr>
                <w:rFonts w:ascii="宋体" w:hAnsi="宋体" w:cs="宋体" w:hint="eastAsia"/>
                <w:b/>
                <w:color w:val="000000"/>
              </w:rPr>
              <w:t>intu</w:t>
            </w:r>
            <w:r w:rsidRPr="008727CC">
              <w:rPr>
                <w:rFonts w:ascii="宋体" w:hAnsi="宋体" w:cs="宋体"/>
                <w:b/>
                <w:color w:val="000000"/>
              </w:rPr>
              <w:t xml:space="preserve"> MK</w:t>
            </w:r>
            <w:r>
              <w:rPr>
                <w:rFonts w:ascii="宋体" w:hAnsi="宋体" w:cs="宋体"/>
                <w:bCs/>
                <w:color w:val="00000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</w:rPr>
              <w:t>）的</w:t>
            </w:r>
            <w:r>
              <w:rPr>
                <w:rFonts w:ascii="宋体" w:hAnsi="宋体" w:hint="eastAsia"/>
              </w:rPr>
              <w:t>拟议收购。</w:t>
            </w:r>
            <w:r w:rsidR="006F6CF0">
              <w:rPr>
                <w:rFonts w:ascii="宋体" w:hAnsi="宋体"/>
              </w:rPr>
              <w:t>i</w:t>
            </w:r>
            <w:r w:rsidR="006F6CF0">
              <w:rPr>
                <w:rFonts w:ascii="宋体" w:hAnsi="宋体" w:hint="eastAsia"/>
              </w:rPr>
              <w:t>ntu</w:t>
            </w:r>
            <w:r w:rsidR="006F6CF0">
              <w:rPr>
                <w:rFonts w:ascii="宋体" w:hAnsi="宋体"/>
              </w:rPr>
              <w:t xml:space="preserve"> MK</w:t>
            </w:r>
            <w:r w:rsidR="006F6CF0">
              <w:rPr>
                <w:rFonts w:ascii="宋体" w:hAnsi="宋体" w:hint="eastAsia"/>
              </w:rPr>
              <w:t>在英国从事零售商业地产</w:t>
            </w:r>
            <w:r w:rsidR="00E36B9C">
              <w:rPr>
                <w:rFonts w:ascii="宋体" w:hAnsi="宋体" w:hint="eastAsia"/>
              </w:rPr>
              <w:t>的开发和运营</w:t>
            </w:r>
            <w:r w:rsidR="006F6CF0">
              <w:rPr>
                <w:rFonts w:ascii="宋体" w:hAnsi="宋体" w:hint="eastAsia"/>
              </w:rPr>
              <w:t>业务。</w:t>
            </w:r>
          </w:p>
          <w:p w14:paraId="6874D8E9" w14:textId="7A15BA32" w:rsidR="007256D9" w:rsidRPr="00183FB6" w:rsidRDefault="006F6CF0" w:rsidP="006F6CF0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hint="eastAsia"/>
              </w:rPr>
              <w:t>交易前，</w:t>
            </w:r>
            <w:r w:rsidRPr="006F6CF0">
              <w:rPr>
                <w:rFonts w:ascii="宋体" w:hAnsi="宋体"/>
                <w:lang w:val="en-US"/>
              </w:rPr>
              <w:t xml:space="preserve">intu Shopping </w:t>
            </w:r>
            <w:proofErr w:type="spellStart"/>
            <w:r w:rsidRPr="006F6CF0">
              <w:rPr>
                <w:rFonts w:ascii="宋体" w:hAnsi="宋体"/>
                <w:lang w:val="en-US"/>
              </w:rPr>
              <w:t>Centres</w:t>
            </w:r>
            <w:proofErr w:type="spellEnd"/>
            <w:r w:rsidRPr="006F6CF0">
              <w:rPr>
                <w:rFonts w:ascii="宋体" w:hAnsi="宋体"/>
                <w:lang w:val="en-US"/>
              </w:rPr>
              <w:t xml:space="preserve"> plc</w:t>
            </w:r>
            <w:r w:rsidRPr="006F6CF0">
              <w:rPr>
                <w:rFonts w:ascii="宋体" w:hAnsi="宋体" w:hint="eastAsia"/>
                <w:lang w:val="en-US"/>
              </w:rPr>
              <w:t>（处于破产管理程序中）</w:t>
            </w:r>
            <w:r>
              <w:rPr>
                <w:rFonts w:ascii="宋体" w:hAnsi="宋体" w:hint="eastAsia"/>
                <w:lang w:val="en-US"/>
              </w:rPr>
              <w:t>持有</w:t>
            </w:r>
            <w:r>
              <w:rPr>
                <w:rFonts w:ascii="宋体" w:hAnsi="宋体" w:hint="eastAsia"/>
              </w:rPr>
              <w:t>intu</w:t>
            </w:r>
            <w:r>
              <w:rPr>
                <w:rFonts w:ascii="宋体" w:hAnsi="宋体"/>
              </w:rPr>
              <w:t xml:space="preserve"> MK</w:t>
            </w:r>
            <w:r>
              <w:rPr>
                <w:rFonts w:ascii="宋体" w:hAnsi="宋体" w:hint="eastAsia"/>
              </w:rPr>
              <w:t>的全部股份并单独控制intu</w:t>
            </w:r>
            <w:r>
              <w:rPr>
                <w:rFonts w:ascii="宋体" w:hAnsi="宋体"/>
              </w:rPr>
              <w:t xml:space="preserve"> MK</w:t>
            </w:r>
            <w:r>
              <w:rPr>
                <w:rFonts w:ascii="宋体" w:hAnsi="宋体" w:hint="eastAsia"/>
              </w:rPr>
              <w:t>。交易后，H</w:t>
            </w:r>
            <w:r>
              <w:rPr>
                <w:rFonts w:ascii="宋体" w:hAnsi="宋体"/>
              </w:rPr>
              <w:t>SBC</w:t>
            </w:r>
            <w:r>
              <w:rPr>
                <w:rFonts w:ascii="宋体" w:hAnsi="宋体" w:hint="eastAsia"/>
              </w:rPr>
              <w:t>与安盛将分别间接持有intu</w:t>
            </w:r>
            <w:r>
              <w:rPr>
                <w:rFonts w:ascii="宋体" w:hAnsi="宋体"/>
              </w:rPr>
              <w:t xml:space="preserve"> MK 50.3%</w:t>
            </w:r>
            <w:r>
              <w:rPr>
                <w:rFonts w:ascii="宋体" w:hAnsi="宋体" w:hint="eastAsia"/>
              </w:rPr>
              <w:t>和4</w:t>
            </w:r>
            <w:r>
              <w:rPr>
                <w:rFonts w:ascii="宋体" w:hAnsi="宋体"/>
              </w:rPr>
              <w:t>9.7%</w:t>
            </w:r>
            <w:r>
              <w:rPr>
                <w:rFonts w:ascii="宋体" w:hAnsi="宋体" w:hint="eastAsia"/>
              </w:rPr>
              <w:t>的股份并通过拥有相同的投票权共同控制intu</w:t>
            </w:r>
            <w:r>
              <w:rPr>
                <w:rFonts w:ascii="宋体" w:hAnsi="宋体"/>
              </w:rPr>
              <w:t xml:space="preserve"> MK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D84709" w:rsidRPr="00C47B25" w14:paraId="1EBDAF10" w14:textId="77777777" w:rsidTr="00C47B25">
        <w:trPr>
          <w:trHeight w:val="942"/>
        </w:trPr>
        <w:tc>
          <w:tcPr>
            <w:tcW w:w="1589" w:type="dxa"/>
            <w:vMerge w:val="restart"/>
            <w:shd w:val="clear" w:color="auto" w:fill="D9D9D9"/>
            <w:vAlign w:val="center"/>
          </w:tcPr>
          <w:p w14:paraId="02540C63" w14:textId="77777777" w:rsidR="00D84709" w:rsidRPr="00C47B25" w:rsidRDefault="00D84709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C47B25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1" w:type="dxa"/>
            <w:vAlign w:val="center"/>
          </w:tcPr>
          <w:p w14:paraId="6D6BDAE0" w14:textId="5EA58054" w:rsidR="00D84709" w:rsidRPr="00C47B25" w:rsidRDefault="00D84709" w:rsidP="00C47B25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宋体" w:hAnsi="宋体" w:cs="宋体"/>
                <w:bCs/>
                <w:color w:val="000000"/>
                <w:lang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安盛</w:t>
            </w:r>
          </w:p>
        </w:tc>
        <w:tc>
          <w:tcPr>
            <w:tcW w:w="5500" w:type="dxa"/>
            <w:vAlign w:val="center"/>
          </w:tcPr>
          <w:p w14:paraId="6F09F9DE" w14:textId="1B43496E" w:rsidR="00D84709" w:rsidRDefault="00D84709" w:rsidP="004A1782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安盛于</w:t>
            </w:r>
            <w:r w:rsidR="00E36B9C">
              <w:rPr>
                <w:rFonts w:ascii="宋体" w:hAnsi="宋体" w:cs="宋体"/>
                <w:lang w:val="en-US" w:eastAsia="zh-CN"/>
              </w:rPr>
              <w:t>1957</w:t>
            </w:r>
            <w:r>
              <w:rPr>
                <w:rFonts w:ascii="宋体" w:hAnsi="宋体" w:cs="宋体" w:hint="eastAsia"/>
                <w:lang w:val="en-US" w:eastAsia="zh-CN"/>
              </w:rPr>
              <w:t>年成立并在法国注册，为巴黎泛欧交易所上市公司</w:t>
            </w:r>
            <w:r w:rsidR="00E36B9C">
              <w:rPr>
                <w:rFonts w:ascii="宋体" w:hAnsi="宋体" w:cs="宋体" w:hint="eastAsia"/>
                <w:lang w:val="en-US" w:eastAsia="zh-CN"/>
              </w:rPr>
              <w:t>。安盛</w:t>
            </w:r>
            <w:r w:rsidR="00E36B9C">
              <w:rPr>
                <w:rFonts w:ascii="宋体" w:hAnsi="宋体" w:cs="宋体" w:hint="eastAsia"/>
                <w:lang w:val="en-US" w:eastAsia="zh-CN"/>
              </w:rPr>
              <w:t>是安盛集团的控股公司。安盛集团</w:t>
            </w:r>
            <w:r w:rsidR="00E36B9C" w:rsidRPr="008613F5">
              <w:rPr>
                <w:rFonts w:ascii="宋体" w:hAnsi="宋体" w:cs="宋体" w:hint="eastAsia"/>
                <w:lang w:val="en-US" w:eastAsia="zh-CN"/>
              </w:rPr>
              <w:t>从事人寿、健康和其他形式的保险以及投资管理业务</w:t>
            </w:r>
            <w:r>
              <w:rPr>
                <w:rFonts w:ascii="宋体" w:hAnsi="宋体" w:cs="宋体" w:hint="eastAsia"/>
                <w:lang w:val="en-US" w:eastAsia="zh-CN"/>
              </w:rPr>
              <w:t>。</w:t>
            </w:r>
          </w:p>
          <w:p w14:paraId="7535745B" w14:textId="65390D59" w:rsidR="00D84709" w:rsidRPr="00C47B25" w:rsidRDefault="00D84709" w:rsidP="008613F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安盛</w:t>
            </w:r>
            <w:r w:rsidR="00E36B9C">
              <w:rPr>
                <w:rFonts w:ascii="宋体" w:hAnsi="宋体" w:cs="宋体" w:hint="eastAsia"/>
                <w:lang w:val="en-US" w:eastAsia="zh-CN"/>
              </w:rPr>
              <w:t>没有最终控制人</w:t>
            </w:r>
            <w:r>
              <w:rPr>
                <w:rFonts w:ascii="宋体" w:hAnsi="宋体" w:cs="宋体" w:hint="eastAsia"/>
                <w:lang w:val="en-US" w:eastAsia="zh-CN"/>
              </w:rPr>
              <w:t>。</w:t>
            </w:r>
          </w:p>
        </w:tc>
      </w:tr>
      <w:tr w:rsidR="008727CC" w:rsidRPr="00C47B25" w14:paraId="447CA37D" w14:textId="77777777" w:rsidTr="00C47B25">
        <w:trPr>
          <w:trHeight w:val="984"/>
        </w:trPr>
        <w:tc>
          <w:tcPr>
            <w:tcW w:w="1589" w:type="dxa"/>
            <w:vMerge/>
            <w:shd w:val="clear" w:color="auto" w:fill="D9D9D9"/>
            <w:vAlign w:val="center"/>
          </w:tcPr>
          <w:p w14:paraId="4AEB9372" w14:textId="77777777" w:rsidR="008727CC" w:rsidRPr="00C47B25" w:rsidRDefault="008727CC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4A84573A" w14:textId="0C7CC5C2" w:rsidR="008727CC" w:rsidRPr="00C47B25" w:rsidRDefault="00D84709" w:rsidP="008727CC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2</w:t>
            </w:r>
            <w:r w:rsidR="008727CC">
              <w:rPr>
                <w:rFonts w:ascii="宋体" w:hAnsi="宋体" w:cs="宋体"/>
                <w:bCs/>
                <w:color w:val="000000"/>
                <w:lang w:val="en-US" w:eastAsia="zh-CN"/>
              </w:rPr>
              <w:t>.</w:t>
            </w:r>
            <w:r w:rsidR="008613F5">
              <w:rPr>
                <w:rFonts w:ascii="宋体" w:hAnsi="宋体" w:cs="宋体" w:hint="eastAsia"/>
                <w:bCs/>
                <w:color w:val="000000"/>
                <w:lang w:eastAsia="zh-CN"/>
              </w:rPr>
              <w:t>H</w:t>
            </w:r>
            <w:r w:rsidR="008613F5">
              <w:rPr>
                <w:rFonts w:ascii="宋体" w:hAnsi="宋体" w:cs="宋体"/>
                <w:bCs/>
                <w:color w:val="000000"/>
                <w:lang w:eastAsia="zh-CN"/>
              </w:rPr>
              <w:t>SBC</w:t>
            </w:r>
          </w:p>
        </w:tc>
        <w:tc>
          <w:tcPr>
            <w:tcW w:w="5500" w:type="dxa"/>
            <w:vAlign w:val="center"/>
          </w:tcPr>
          <w:p w14:paraId="2DAB10F2" w14:textId="3E677D38" w:rsidR="008727CC" w:rsidRDefault="008613F5" w:rsidP="004A178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</w:rPr>
              <w:t>HSBC</w:t>
            </w:r>
            <w:r>
              <w:rPr>
                <w:rFonts w:ascii="宋体" w:hAnsi="宋体" w:cs="宋体" w:hint="eastAsia"/>
                <w:bCs/>
                <w:color w:val="000000"/>
              </w:rPr>
              <w:t>于1</w:t>
            </w:r>
            <w:r>
              <w:rPr>
                <w:rFonts w:ascii="宋体" w:hAnsi="宋体" w:cs="宋体"/>
                <w:bCs/>
                <w:color w:val="000000"/>
              </w:rPr>
              <w:t>865</w:t>
            </w:r>
            <w:r>
              <w:rPr>
                <w:rFonts w:ascii="宋体" w:hAnsi="宋体" w:cs="宋体" w:hint="eastAsia"/>
                <w:bCs/>
                <w:color w:val="000000"/>
              </w:rPr>
              <w:t>年成立并在英国注册，其主要业务为银行和金融服务。</w:t>
            </w:r>
          </w:p>
          <w:p w14:paraId="52132B9A" w14:textId="64C281C6" w:rsidR="008613F5" w:rsidRDefault="008613F5" w:rsidP="004A178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</w:rPr>
              <w:t>HSBC</w:t>
            </w:r>
            <w:r>
              <w:rPr>
                <w:rFonts w:ascii="宋体" w:hAnsi="宋体" w:cs="宋体" w:hint="eastAsia"/>
                <w:bCs/>
                <w:color w:val="000000"/>
              </w:rPr>
              <w:t>的最终控制人为汇丰控股有限公司，其是汇丰集团的控股公司。汇丰集团提供银行和金融服务。</w:t>
            </w:r>
          </w:p>
        </w:tc>
      </w:tr>
      <w:tr w:rsidR="008727CC" w:rsidRPr="00C47B25" w14:paraId="54A76C98" w14:textId="77777777" w:rsidTr="00C47B25">
        <w:trPr>
          <w:trHeight w:val="984"/>
        </w:trPr>
        <w:tc>
          <w:tcPr>
            <w:tcW w:w="1589" w:type="dxa"/>
            <w:vMerge/>
            <w:shd w:val="clear" w:color="auto" w:fill="D9D9D9"/>
            <w:vAlign w:val="center"/>
          </w:tcPr>
          <w:p w14:paraId="54A7069A" w14:textId="77777777" w:rsidR="008727CC" w:rsidRPr="00C47B25" w:rsidRDefault="008727CC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26B517BD" w14:textId="137988D9" w:rsidR="008727CC" w:rsidRPr="00C47B25" w:rsidRDefault="00D84709" w:rsidP="008727CC">
            <w:pPr>
              <w:pStyle w:val="BodyText"/>
              <w:adjustRightInd w:val="0"/>
              <w:snapToGrid w:val="0"/>
              <w:spacing w:after="0"/>
              <w:jc w:val="left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3</w:t>
            </w:r>
            <w:r w:rsidR="008727CC">
              <w:rPr>
                <w:rFonts w:ascii="宋体" w:hAnsi="宋体" w:cs="宋体"/>
                <w:bCs/>
                <w:color w:val="000000"/>
                <w:lang w:val="en-US" w:eastAsia="zh-CN"/>
              </w:rPr>
              <w:t>.</w:t>
            </w:r>
            <w:r w:rsidR="008727CC" w:rsidRPr="008727CC">
              <w:rPr>
                <w:rFonts w:ascii="宋体" w:hAnsi="宋体" w:cs="宋体"/>
                <w:bCs/>
                <w:color w:val="000000"/>
                <w:lang w:eastAsia="zh-CN"/>
              </w:rPr>
              <w:t xml:space="preserve">intu </w:t>
            </w:r>
            <w:r w:rsidR="00E335E8">
              <w:rPr>
                <w:rFonts w:ascii="宋体" w:hAnsi="宋体" w:cs="宋体"/>
                <w:bCs/>
                <w:color w:val="000000"/>
                <w:lang w:eastAsia="zh-CN"/>
              </w:rPr>
              <w:t>MK</w:t>
            </w:r>
          </w:p>
        </w:tc>
        <w:tc>
          <w:tcPr>
            <w:tcW w:w="5500" w:type="dxa"/>
            <w:vAlign w:val="center"/>
          </w:tcPr>
          <w:p w14:paraId="48444352" w14:textId="77777777" w:rsidR="008727CC" w:rsidRDefault="00E335E8" w:rsidP="004A178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/>
                <w:bCs/>
                <w:color w:val="000000"/>
              </w:rPr>
              <w:t>i</w:t>
            </w:r>
            <w:r>
              <w:rPr>
                <w:rFonts w:ascii="宋体" w:hAnsi="宋体" w:cs="宋体" w:hint="eastAsia"/>
                <w:bCs/>
                <w:color w:val="000000"/>
              </w:rPr>
              <w:t>ntu</w:t>
            </w:r>
            <w:r>
              <w:rPr>
                <w:rFonts w:ascii="宋体" w:hAnsi="宋体" w:cs="宋体"/>
                <w:bCs/>
                <w:color w:val="000000"/>
              </w:rPr>
              <w:t xml:space="preserve"> MK</w:t>
            </w:r>
            <w:r>
              <w:rPr>
                <w:rFonts w:ascii="宋体" w:hAnsi="宋体" w:cs="宋体" w:hint="eastAsia"/>
                <w:bCs/>
                <w:color w:val="000000"/>
              </w:rPr>
              <w:t>于2</w:t>
            </w:r>
            <w:r>
              <w:rPr>
                <w:rFonts w:ascii="宋体" w:hAnsi="宋体" w:cs="宋体"/>
                <w:bCs/>
                <w:color w:val="000000"/>
              </w:rPr>
              <w:t>012</w:t>
            </w:r>
            <w:r>
              <w:rPr>
                <w:rFonts w:ascii="宋体" w:hAnsi="宋体" w:cs="宋体" w:hint="eastAsia"/>
                <w:bCs/>
                <w:color w:val="000000"/>
              </w:rPr>
              <w:t>年成立并在英国注册，其拥有并管理位于</w:t>
            </w:r>
            <w:r w:rsidRPr="00E335E8">
              <w:rPr>
                <w:rFonts w:ascii="宋体" w:hAnsi="宋体" w:cs="宋体" w:hint="eastAsia"/>
                <w:bCs/>
                <w:color w:val="000000"/>
                <w:lang w:val="en-US"/>
              </w:rPr>
              <w:t>英国英格兰米尔顿凯恩斯的</w:t>
            </w:r>
            <w:r w:rsidRPr="00E335E8">
              <w:rPr>
                <w:rFonts w:ascii="宋体" w:hAnsi="宋体" w:cs="宋体"/>
                <w:bCs/>
                <w:color w:val="000000"/>
                <w:lang w:val="en-US"/>
              </w:rPr>
              <w:t>Midsummer Place</w:t>
            </w:r>
            <w:r w:rsidRPr="00E335E8">
              <w:rPr>
                <w:rFonts w:ascii="宋体" w:hAnsi="宋体" w:cs="宋体" w:hint="eastAsia"/>
                <w:bCs/>
                <w:color w:val="000000"/>
                <w:lang w:val="en-US"/>
              </w:rPr>
              <w:t>购物中心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</w:p>
          <w:p w14:paraId="0C5C86AE" w14:textId="6D0171E2" w:rsidR="00E335E8" w:rsidRDefault="00E335E8" w:rsidP="004A178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  <w:lang w:val="en-US"/>
              </w:rPr>
              <w:t>i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ntu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 xml:space="preserve"> MK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的最终控制人为intu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 xml:space="preserve"> Properties plc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（</w:t>
            </w:r>
            <w:r w:rsidRPr="006F6CF0">
              <w:rPr>
                <w:rFonts w:ascii="宋体" w:hAnsi="宋体" w:hint="eastAsia"/>
                <w:lang w:val="en-US"/>
              </w:rPr>
              <w:t>处于破产管理程序中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），其为</w:t>
            </w:r>
            <w:r w:rsidRPr="00E335E8">
              <w:rPr>
                <w:rFonts w:ascii="宋体" w:hAnsi="宋体" w:cs="宋体" w:hint="eastAsia"/>
                <w:bCs/>
                <w:color w:val="000000"/>
                <w:lang w:val="en-US"/>
              </w:rPr>
              <w:t>一家房地产投资信托公司，主要从事购物中心的开发</w:t>
            </w:r>
            <w:r w:rsidR="00E36B9C">
              <w:rPr>
                <w:rFonts w:ascii="宋体" w:hAnsi="宋体" w:cs="宋体" w:hint="eastAsia"/>
                <w:bCs/>
                <w:color w:val="000000"/>
                <w:lang w:val="en-US"/>
              </w:rPr>
              <w:t>和管理</w:t>
            </w:r>
            <w:r w:rsidRPr="00E335E8"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</w:p>
        </w:tc>
      </w:tr>
      <w:tr w:rsidR="007256D9" w:rsidRPr="00C47B25" w14:paraId="028C298F" w14:textId="77777777" w:rsidTr="00C47B25">
        <w:trPr>
          <w:trHeight w:val="279"/>
        </w:trPr>
        <w:tc>
          <w:tcPr>
            <w:tcW w:w="1589" w:type="dxa"/>
            <w:vMerge w:val="restart"/>
            <w:shd w:val="clear" w:color="auto" w:fill="D9D9D9"/>
            <w:vAlign w:val="center"/>
          </w:tcPr>
          <w:p w14:paraId="390F8813" w14:textId="77777777" w:rsidR="007256D9" w:rsidRPr="00C47B25" w:rsidRDefault="00ED71C6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8051" w:type="dxa"/>
            <w:gridSpan w:val="2"/>
            <w:vAlign w:val="center"/>
          </w:tcPr>
          <w:p w14:paraId="23E425D5" w14:textId="2CB9FB92" w:rsidR="007256D9" w:rsidRPr="00C47B25" w:rsidRDefault="00C47B2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0E6727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ED71C6"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7256D9" w:rsidRPr="00C47B25" w14:paraId="100D2F6F" w14:textId="77777777" w:rsidTr="00C47B25">
        <w:trPr>
          <w:trHeight w:val="330"/>
        </w:trPr>
        <w:tc>
          <w:tcPr>
            <w:tcW w:w="1589" w:type="dxa"/>
            <w:vMerge/>
            <w:shd w:val="clear" w:color="auto" w:fill="D9D9D9"/>
            <w:vAlign w:val="center"/>
          </w:tcPr>
          <w:p w14:paraId="562309DF" w14:textId="77777777" w:rsidR="007256D9" w:rsidRPr="00C47B25" w:rsidRDefault="007256D9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8051" w:type="dxa"/>
            <w:gridSpan w:val="2"/>
            <w:vAlign w:val="center"/>
          </w:tcPr>
          <w:p w14:paraId="193E8F53" w14:textId="2A832D71" w:rsidR="007256D9" w:rsidRPr="00C47B25" w:rsidRDefault="00C47B2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ED71C6"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7256D9" w:rsidRPr="00C47B25" w14:paraId="567B27DC" w14:textId="77777777" w:rsidTr="00C47B25">
        <w:trPr>
          <w:trHeight w:val="285"/>
        </w:trPr>
        <w:tc>
          <w:tcPr>
            <w:tcW w:w="1589" w:type="dxa"/>
            <w:vMerge/>
            <w:shd w:val="clear" w:color="auto" w:fill="D9D9D9"/>
            <w:vAlign w:val="center"/>
          </w:tcPr>
          <w:p w14:paraId="64E1655A" w14:textId="77777777" w:rsidR="007256D9" w:rsidRPr="00C47B25" w:rsidRDefault="007256D9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8051" w:type="dxa"/>
            <w:gridSpan w:val="2"/>
            <w:vAlign w:val="center"/>
          </w:tcPr>
          <w:p w14:paraId="35FA1818" w14:textId="27819676" w:rsidR="007256D9" w:rsidRPr="00C47B25" w:rsidRDefault="00ED71C6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 w:rsidR="007256D9" w:rsidRPr="00C47B25" w14:paraId="10F68119" w14:textId="77777777" w:rsidTr="00C47B25">
        <w:trPr>
          <w:trHeight w:val="870"/>
        </w:trPr>
        <w:tc>
          <w:tcPr>
            <w:tcW w:w="1589" w:type="dxa"/>
            <w:vMerge/>
            <w:shd w:val="clear" w:color="auto" w:fill="D9D9D9"/>
            <w:vAlign w:val="center"/>
          </w:tcPr>
          <w:p w14:paraId="4DB50647" w14:textId="77777777" w:rsidR="007256D9" w:rsidRPr="00C47B25" w:rsidRDefault="007256D9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8051" w:type="dxa"/>
            <w:gridSpan w:val="2"/>
            <w:vAlign w:val="center"/>
          </w:tcPr>
          <w:p w14:paraId="34BEA617" w14:textId="3175F027" w:rsidR="007256D9" w:rsidRPr="00C47B25" w:rsidRDefault="00ED71C6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7256D9" w:rsidRPr="00C47B25" w14:paraId="71CE5AA6" w14:textId="77777777" w:rsidTr="00C47B25">
        <w:trPr>
          <w:trHeight w:val="264"/>
        </w:trPr>
        <w:tc>
          <w:tcPr>
            <w:tcW w:w="1589" w:type="dxa"/>
            <w:vMerge/>
            <w:shd w:val="clear" w:color="auto" w:fill="D9D9D9"/>
            <w:vAlign w:val="center"/>
          </w:tcPr>
          <w:p w14:paraId="5BC34D29" w14:textId="77777777" w:rsidR="007256D9" w:rsidRPr="00C47B25" w:rsidRDefault="007256D9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8051" w:type="dxa"/>
            <w:gridSpan w:val="2"/>
            <w:vAlign w:val="center"/>
          </w:tcPr>
          <w:p w14:paraId="6E73F6C2" w14:textId="428258AB" w:rsidR="007256D9" w:rsidRPr="00C47B25" w:rsidRDefault="00C47B25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ED71C6"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7256D9" w:rsidRPr="00C47B25" w14:paraId="034C8D27" w14:textId="77777777" w:rsidTr="00C47B25">
        <w:trPr>
          <w:trHeight w:val="345"/>
        </w:trPr>
        <w:tc>
          <w:tcPr>
            <w:tcW w:w="1589" w:type="dxa"/>
            <w:vMerge/>
            <w:shd w:val="clear" w:color="auto" w:fill="D9D9D9"/>
            <w:vAlign w:val="center"/>
          </w:tcPr>
          <w:p w14:paraId="14787AFC" w14:textId="77777777" w:rsidR="007256D9" w:rsidRPr="00C47B25" w:rsidRDefault="007256D9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8051" w:type="dxa"/>
            <w:gridSpan w:val="2"/>
            <w:vAlign w:val="center"/>
          </w:tcPr>
          <w:p w14:paraId="6D12BF94" w14:textId="2FB3F0E6" w:rsidR="007256D9" w:rsidRPr="00C47B25" w:rsidRDefault="00ED71C6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C47B25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7256D9" w:rsidRPr="00C47B25" w14:paraId="77C41CD6" w14:textId="77777777" w:rsidTr="007E645D">
        <w:trPr>
          <w:trHeight w:val="60"/>
        </w:trPr>
        <w:tc>
          <w:tcPr>
            <w:tcW w:w="1589" w:type="dxa"/>
            <w:shd w:val="clear" w:color="auto" w:fill="D9D9D9"/>
            <w:vAlign w:val="center"/>
          </w:tcPr>
          <w:p w14:paraId="2ACFB25D" w14:textId="77777777" w:rsidR="007256D9" w:rsidRPr="00C47B25" w:rsidRDefault="00ED71C6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C47B25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8051" w:type="dxa"/>
            <w:gridSpan w:val="2"/>
            <w:vAlign w:val="center"/>
          </w:tcPr>
          <w:p w14:paraId="509B7AD5" w14:textId="4A149730" w:rsidR="007256D9" w:rsidRPr="00C47B25" w:rsidRDefault="006B28BC">
            <w:pPr>
              <w:pStyle w:val="BodyText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 w:rsidRPr="006B28BC">
              <w:rPr>
                <w:rFonts w:ascii="宋体" w:hAnsi="宋体" w:cs="宋体" w:hint="eastAsia"/>
                <w:bCs/>
                <w:color w:val="000000"/>
                <w:lang w:eastAsia="zh-CN"/>
              </w:rPr>
              <w:t>申报方申请简易案件的理由基于第5项，无须在备注中说明相关市场和市场份额</w:t>
            </w:r>
            <w:r w:rsidR="004C7416">
              <w:rPr>
                <w:rFonts w:ascii="宋体" w:hAnsi="宋体" w:cs="宋体" w:hint="eastAsia"/>
                <w:bCs/>
                <w:color w:val="000000"/>
                <w:lang w:eastAsia="zh-CN"/>
              </w:rPr>
              <w:t>。</w:t>
            </w:r>
          </w:p>
        </w:tc>
      </w:tr>
    </w:tbl>
    <w:p w14:paraId="39933E52" w14:textId="77777777" w:rsidR="007256D9" w:rsidRDefault="007256D9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7256D9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0269" w14:textId="77777777" w:rsidR="00C60470" w:rsidRDefault="00C60470">
      <w:pPr>
        <w:spacing w:after="0"/>
      </w:pPr>
      <w:r>
        <w:separator/>
      </w:r>
    </w:p>
  </w:endnote>
  <w:endnote w:type="continuationSeparator" w:id="0">
    <w:p w14:paraId="125D04B1" w14:textId="77777777" w:rsidR="00C60470" w:rsidRDefault="00C60470">
      <w:pPr>
        <w:spacing w:after="0"/>
      </w:pPr>
      <w:r>
        <w:continuationSeparator/>
      </w:r>
    </w:p>
  </w:endnote>
  <w:endnote w:type="continuationNotice" w:id="1">
    <w:p w14:paraId="5CB18A6A" w14:textId="77777777" w:rsidR="00C60470" w:rsidRDefault="00C604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7256D9" w14:paraId="5A34CF97" w14:textId="77777777">
      <w:tc>
        <w:tcPr>
          <w:tcW w:w="3080" w:type="dxa"/>
        </w:tcPr>
        <w:p w14:paraId="1E903796" w14:textId="77777777" w:rsidR="007256D9" w:rsidRDefault="007256D9">
          <w:pPr>
            <w:pStyle w:val="Footer"/>
          </w:pPr>
        </w:p>
      </w:tc>
      <w:tc>
        <w:tcPr>
          <w:tcW w:w="3081" w:type="dxa"/>
        </w:tcPr>
        <w:p w14:paraId="1DB128F8" w14:textId="77777777" w:rsidR="007256D9" w:rsidRDefault="00ED71C6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>PAGE   \* MERGEFORMAT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  <w:lang w:val="en-US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307D83C4" w14:textId="77777777" w:rsidR="007256D9" w:rsidRDefault="007256D9">
          <w:pPr>
            <w:pStyle w:val="FooterRight"/>
          </w:pPr>
        </w:p>
      </w:tc>
    </w:tr>
  </w:tbl>
  <w:p w14:paraId="370CC872" w14:textId="77777777" w:rsidR="007256D9" w:rsidRDefault="00725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9F7F" w14:textId="77777777" w:rsidR="00C60470" w:rsidRDefault="00C60470">
      <w:pPr>
        <w:spacing w:after="0"/>
      </w:pPr>
      <w:r>
        <w:separator/>
      </w:r>
    </w:p>
  </w:footnote>
  <w:footnote w:type="continuationSeparator" w:id="0">
    <w:p w14:paraId="0B758CCB" w14:textId="77777777" w:rsidR="00C60470" w:rsidRDefault="00C60470">
      <w:pPr>
        <w:spacing w:after="0"/>
      </w:pPr>
      <w:r>
        <w:continuationSeparator/>
      </w:r>
    </w:p>
  </w:footnote>
  <w:footnote w:type="continuationNotice" w:id="1">
    <w:p w14:paraId="1C5F671D" w14:textId="77777777" w:rsidR="00C60470" w:rsidRDefault="00C604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15F18"/>
    <w:rsid w:val="00021AB2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92F4E"/>
    <w:rsid w:val="000B58E5"/>
    <w:rsid w:val="000B653C"/>
    <w:rsid w:val="000C6953"/>
    <w:rsid w:val="000E29A9"/>
    <w:rsid w:val="000E3A81"/>
    <w:rsid w:val="000E6727"/>
    <w:rsid w:val="00107E19"/>
    <w:rsid w:val="00115F62"/>
    <w:rsid w:val="00123E26"/>
    <w:rsid w:val="00145B05"/>
    <w:rsid w:val="001639D8"/>
    <w:rsid w:val="00183FB6"/>
    <w:rsid w:val="00186A05"/>
    <w:rsid w:val="001965E2"/>
    <w:rsid w:val="001B4EA1"/>
    <w:rsid w:val="001C3AA8"/>
    <w:rsid w:val="001C5840"/>
    <w:rsid w:val="001D1555"/>
    <w:rsid w:val="001D6168"/>
    <w:rsid w:val="001E0F1F"/>
    <w:rsid w:val="001F346E"/>
    <w:rsid w:val="001F35AA"/>
    <w:rsid w:val="001F367B"/>
    <w:rsid w:val="00220C4B"/>
    <w:rsid w:val="00224A7C"/>
    <w:rsid w:val="002278D1"/>
    <w:rsid w:val="00231665"/>
    <w:rsid w:val="00233737"/>
    <w:rsid w:val="002403B5"/>
    <w:rsid w:val="00245281"/>
    <w:rsid w:val="00250E61"/>
    <w:rsid w:val="00261F94"/>
    <w:rsid w:val="00267941"/>
    <w:rsid w:val="00287E91"/>
    <w:rsid w:val="00291652"/>
    <w:rsid w:val="002964A1"/>
    <w:rsid w:val="002A25F2"/>
    <w:rsid w:val="002A7C26"/>
    <w:rsid w:val="002B3FA6"/>
    <w:rsid w:val="002D2F2A"/>
    <w:rsid w:val="002E25AB"/>
    <w:rsid w:val="002F09A7"/>
    <w:rsid w:val="002F5271"/>
    <w:rsid w:val="00303BB4"/>
    <w:rsid w:val="00306B88"/>
    <w:rsid w:val="00310488"/>
    <w:rsid w:val="00311263"/>
    <w:rsid w:val="00330626"/>
    <w:rsid w:val="0034107F"/>
    <w:rsid w:val="00342CC7"/>
    <w:rsid w:val="00344D27"/>
    <w:rsid w:val="0035604C"/>
    <w:rsid w:val="00371332"/>
    <w:rsid w:val="003850D4"/>
    <w:rsid w:val="00385F00"/>
    <w:rsid w:val="003866EF"/>
    <w:rsid w:val="003A4565"/>
    <w:rsid w:val="003B27EC"/>
    <w:rsid w:val="003B2F86"/>
    <w:rsid w:val="003B4439"/>
    <w:rsid w:val="003B4675"/>
    <w:rsid w:val="003B4C9E"/>
    <w:rsid w:val="003B7CBC"/>
    <w:rsid w:val="003C3456"/>
    <w:rsid w:val="003E3B57"/>
    <w:rsid w:val="003E73DB"/>
    <w:rsid w:val="00410914"/>
    <w:rsid w:val="004119F5"/>
    <w:rsid w:val="004166B2"/>
    <w:rsid w:val="004203EF"/>
    <w:rsid w:val="00427E52"/>
    <w:rsid w:val="00446353"/>
    <w:rsid w:val="0044739B"/>
    <w:rsid w:val="00463E3F"/>
    <w:rsid w:val="00467A6B"/>
    <w:rsid w:val="0049707A"/>
    <w:rsid w:val="004973DB"/>
    <w:rsid w:val="0049771A"/>
    <w:rsid w:val="004A1782"/>
    <w:rsid w:val="004A4BF1"/>
    <w:rsid w:val="004C3420"/>
    <w:rsid w:val="004C7416"/>
    <w:rsid w:val="004D018B"/>
    <w:rsid w:val="004D124C"/>
    <w:rsid w:val="004D4435"/>
    <w:rsid w:val="00511857"/>
    <w:rsid w:val="00512A53"/>
    <w:rsid w:val="00523905"/>
    <w:rsid w:val="005251B9"/>
    <w:rsid w:val="00530BB4"/>
    <w:rsid w:val="00545A47"/>
    <w:rsid w:val="0057200D"/>
    <w:rsid w:val="0057515F"/>
    <w:rsid w:val="00591CEC"/>
    <w:rsid w:val="00597D1B"/>
    <w:rsid w:val="005B0CEB"/>
    <w:rsid w:val="005B18A3"/>
    <w:rsid w:val="005C3DEC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2159"/>
    <w:rsid w:val="006412D5"/>
    <w:rsid w:val="00645B6A"/>
    <w:rsid w:val="00653D0A"/>
    <w:rsid w:val="00655225"/>
    <w:rsid w:val="00655BD2"/>
    <w:rsid w:val="00664174"/>
    <w:rsid w:val="006643EA"/>
    <w:rsid w:val="0067348D"/>
    <w:rsid w:val="006745A9"/>
    <w:rsid w:val="00682729"/>
    <w:rsid w:val="006A559D"/>
    <w:rsid w:val="006B28BC"/>
    <w:rsid w:val="006B4541"/>
    <w:rsid w:val="006C3AF9"/>
    <w:rsid w:val="006D1E2B"/>
    <w:rsid w:val="006E0D98"/>
    <w:rsid w:val="006E3180"/>
    <w:rsid w:val="006E6E26"/>
    <w:rsid w:val="006E70AA"/>
    <w:rsid w:val="006F6CF0"/>
    <w:rsid w:val="006F7A98"/>
    <w:rsid w:val="007029CB"/>
    <w:rsid w:val="00705778"/>
    <w:rsid w:val="0071349F"/>
    <w:rsid w:val="0071373B"/>
    <w:rsid w:val="00720F7B"/>
    <w:rsid w:val="007256D9"/>
    <w:rsid w:val="00726B19"/>
    <w:rsid w:val="00727BD0"/>
    <w:rsid w:val="007373F0"/>
    <w:rsid w:val="00742AFE"/>
    <w:rsid w:val="00742EDF"/>
    <w:rsid w:val="00751420"/>
    <w:rsid w:val="007674D7"/>
    <w:rsid w:val="00772298"/>
    <w:rsid w:val="00777465"/>
    <w:rsid w:val="00794062"/>
    <w:rsid w:val="00797584"/>
    <w:rsid w:val="007A2D94"/>
    <w:rsid w:val="007B651A"/>
    <w:rsid w:val="007B6ED8"/>
    <w:rsid w:val="007B75E4"/>
    <w:rsid w:val="007E2608"/>
    <w:rsid w:val="007E645D"/>
    <w:rsid w:val="007F1726"/>
    <w:rsid w:val="007F3EFC"/>
    <w:rsid w:val="0080200E"/>
    <w:rsid w:val="00803A33"/>
    <w:rsid w:val="00804DE0"/>
    <w:rsid w:val="008051ED"/>
    <w:rsid w:val="00811775"/>
    <w:rsid w:val="008248B2"/>
    <w:rsid w:val="008307DC"/>
    <w:rsid w:val="008313F2"/>
    <w:rsid w:val="00834D88"/>
    <w:rsid w:val="0085291A"/>
    <w:rsid w:val="00857216"/>
    <w:rsid w:val="008613F5"/>
    <w:rsid w:val="0086398B"/>
    <w:rsid w:val="00864085"/>
    <w:rsid w:val="008727CC"/>
    <w:rsid w:val="00873FF1"/>
    <w:rsid w:val="008803D0"/>
    <w:rsid w:val="00880F24"/>
    <w:rsid w:val="008836AF"/>
    <w:rsid w:val="00885C9B"/>
    <w:rsid w:val="00893879"/>
    <w:rsid w:val="008A56CE"/>
    <w:rsid w:val="008B2172"/>
    <w:rsid w:val="008D4ED8"/>
    <w:rsid w:val="008D644E"/>
    <w:rsid w:val="008E5BCA"/>
    <w:rsid w:val="009022B0"/>
    <w:rsid w:val="00905F4A"/>
    <w:rsid w:val="00913D41"/>
    <w:rsid w:val="009145E4"/>
    <w:rsid w:val="009301D9"/>
    <w:rsid w:val="0094346F"/>
    <w:rsid w:val="00953187"/>
    <w:rsid w:val="009551E9"/>
    <w:rsid w:val="0096333E"/>
    <w:rsid w:val="009668EC"/>
    <w:rsid w:val="00977C3B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C67DD"/>
    <w:rsid w:val="009D0999"/>
    <w:rsid w:val="009F0698"/>
    <w:rsid w:val="009F51B6"/>
    <w:rsid w:val="00A03B30"/>
    <w:rsid w:val="00A05705"/>
    <w:rsid w:val="00A16F03"/>
    <w:rsid w:val="00A21136"/>
    <w:rsid w:val="00A3323A"/>
    <w:rsid w:val="00A46C66"/>
    <w:rsid w:val="00A46FAF"/>
    <w:rsid w:val="00A5674A"/>
    <w:rsid w:val="00A623EF"/>
    <w:rsid w:val="00A64F91"/>
    <w:rsid w:val="00A71239"/>
    <w:rsid w:val="00A7438D"/>
    <w:rsid w:val="00A74797"/>
    <w:rsid w:val="00A7601D"/>
    <w:rsid w:val="00A81984"/>
    <w:rsid w:val="00A8436B"/>
    <w:rsid w:val="00AA0B78"/>
    <w:rsid w:val="00AA0F23"/>
    <w:rsid w:val="00AA2060"/>
    <w:rsid w:val="00AA3E2F"/>
    <w:rsid w:val="00AA46CA"/>
    <w:rsid w:val="00AA535B"/>
    <w:rsid w:val="00AC0491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B04913"/>
    <w:rsid w:val="00B2169A"/>
    <w:rsid w:val="00B31D4D"/>
    <w:rsid w:val="00B3616B"/>
    <w:rsid w:val="00B37633"/>
    <w:rsid w:val="00B43B93"/>
    <w:rsid w:val="00B44A23"/>
    <w:rsid w:val="00B518C9"/>
    <w:rsid w:val="00B52EAC"/>
    <w:rsid w:val="00B54969"/>
    <w:rsid w:val="00B55FFF"/>
    <w:rsid w:val="00B6081D"/>
    <w:rsid w:val="00B80B9E"/>
    <w:rsid w:val="00B838DA"/>
    <w:rsid w:val="00B86E3A"/>
    <w:rsid w:val="00BA017F"/>
    <w:rsid w:val="00BD535F"/>
    <w:rsid w:val="00BE6E64"/>
    <w:rsid w:val="00BF31B7"/>
    <w:rsid w:val="00BF4F99"/>
    <w:rsid w:val="00C10048"/>
    <w:rsid w:val="00C30E9B"/>
    <w:rsid w:val="00C34848"/>
    <w:rsid w:val="00C424FC"/>
    <w:rsid w:val="00C47B25"/>
    <w:rsid w:val="00C51ECC"/>
    <w:rsid w:val="00C556B2"/>
    <w:rsid w:val="00C562DB"/>
    <w:rsid w:val="00C600D9"/>
    <w:rsid w:val="00C601B4"/>
    <w:rsid w:val="00C60470"/>
    <w:rsid w:val="00C63459"/>
    <w:rsid w:val="00C67ADA"/>
    <w:rsid w:val="00C810E8"/>
    <w:rsid w:val="00C847C2"/>
    <w:rsid w:val="00CA6613"/>
    <w:rsid w:val="00CC69AD"/>
    <w:rsid w:val="00CF1664"/>
    <w:rsid w:val="00CF5A8A"/>
    <w:rsid w:val="00D01278"/>
    <w:rsid w:val="00D12AB1"/>
    <w:rsid w:val="00D23B36"/>
    <w:rsid w:val="00D27AEB"/>
    <w:rsid w:val="00D53BAE"/>
    <w:rsid w:val="00D57DBA"/>
    <w:rsid w:val="00D57EBC"/>
    <w:rsid w:val="00D71F76"/>
    <w:rsid w:val="00D77095"/>
    <w:rsid w:val="00D80573"/>
    <w:rsid w:val="00D84709"/>
    <w:rsid w:val="00D94BB1"/>
    <w:rsid w:val="00D961C9"/>
    <w:rsid w:val="00D97B80"/>
    <w:rsid w:val="00DA1D73"/>
    <w:rsid w:val="00DA4AB8"/>
    <w:rsid w:val="00DB2761"/>
    <w:rsid w:val="00DB2FF6"/>
    <w:rsid w:val="00DD0E0C"/>
    <w:rsid w:val="00DD3DAB"/>
    <w:rsid w:val="00DD7765"/>
    <w:rsid w:val="00DE522D"/>
    <w:rsid w:val="00E151E1"/>
    <w:rsid w:val="00E23955"/>
    <w:rsid w:val="00E335E8"/>
    <w:rsid w:val="00E36B9C"/>
    <w:rsid w:val="00E417DF"/>
    <w:rsid w:val="00E47327"/>
    <w:rsid w:val="00E7385D"/>
    <w:rsid w:val="00E86579"/>
    <w:rsid w:val="00E90A19"/>
    <w:rsid w:val="00E974F8"/>
    <w:rsid w:val="00E97DB1"/>
    <w:rsid w:val="00EA79DA"/>
    <w:rsid w:val="00EB3917"/>
    <w:rsid w:val="00EC636E"/>
    <w:rsid w:val="00EC7E55"/>
    <w:rsid w:val="00ED4B84"/>
    <w:rsid w:val="00ED6F93"/>
    <w:rsid w:val="00ED71C6"/>
    <w:rsid w:val="00EE7CB8"/>
    <w:rsid w:val="00EF16FB"/>
    <w:rsid w:val="00F02216"/>
    <w:rsid w:val="00F0291C"/>
    <w:rsid w:val="00F101DD"/>
    <w:rsid w:val="00F14193"/>
    <w:rsid w:val="00F14D59"/>
    <w:rsid w:val="00F20CCE"/>
    <w:rsid w:val="00F21BA0"/>
    <w:rsid w:val="00F3614E"/>
    <w:rsid w:val="00F46ACA"/>
    <w:rsid w:val="00F56870"/>
    <w:rsid w:val="00F576E0"/>
    <w:rsid w:val="00F6440C"/>
    <w:rsid w:val="00F7634B"/>
    <w:rsid w:val="00F901CF"/>
    <w:rsid w:val="00F906EF"/>
    <w:rsid w:val="00F92197"/>
    <w:rsid w:val="00FA19FB"/>
    <w:rsid w:val="00FB33FD"/>
    <w:rsid w:val="00FB4B55"/>
    <w:rsid w:val="00FB645E"/>
    <w:rsid w:val="00FC35ED"/>
    <w:rsid w:val="00FD4978"/>
    <w:rsid w:val="00FD6CD9"/>
    <w:rsid w:val="00FE20D9"/>
    <w:rsid w:val="00FF41ED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D1D37"/>
  <w15:chartTrackingRefBased/>
  <w15:docId w15:val="{33D5ADC0-142B-4DE7-B4BD-9DD8D835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paragraph" w:styleId="Index5">
    <w:name w:val="index 5"/>
    <w:basedOn w:val="Normal"/>
    <w:next w:val="Normal"/>
    <w:pPr>
      <w:ind w:left="1200" w:hanging="240"/>
    </w:p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paragraph" w:styleId="Index3">
    <w:name w:val="index 3"/>
    <w:basedOn w:val="Normal"/>
    <w:next w:val="Normal"/>
    <w:pPr>
      <w:ind w:left="720" w:hanging="240"/>
    </w:p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paragraph" w:styleId="Index8">
    <w:name w:val="index 8"/>
    <w:basedOn w:val="Normal"/>
    <w:next w:val="Normal"/>
    <w:pPr>
      <w:ind w:left="1920" w:hanging="240"/>
    </w:p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paragraph" w:styleId="NormalIndent">
    <w:name w:val="Normal Indent"/>
    <w:basedOn w:val="Normal"/>
    <w:pPr>
      <w:ind w:left="720"/>
    </w:p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TOC5">
    <w:name w:val="toc 5"/>
    <w:basedOn w:val="Normal"/>
    <w:next w:val="Normal"/>
    <w:pPr>
      <w:ind w:left="96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CommentTextChar">
    <w:name w:val="Comment Text Char"/>
    <w:link w:val="CommentText"/>
    <w:rPr>
      <w:lang w:bidi="ar-AE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3">
    <w:name w:val="toc 3"/>
    <w:basedOn w:val="Normal"/>
    <w:next w:val="Normal"/>
    <w:pPr>
      <w:ind w:left="480"/>
    </w:p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TOC6">
    <w:name w:val="toc 6"/>
    <w:basedOn w:val="Normal"/>
    <w:next w:val="Normal"/>
    <w:pPr>
      <w:ind w:left="120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styleId="Bibliography">
    <w:name w:val="Bibliography"/>
    <w:basedOn w:val="Normal"/>
    <w:next w:val="Normal"/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ubTitle0">
    <w:name w:val="SubTitle0"/>
    <w:basedOn w:val="Subtitle"/>
    <w:pPr>
      <w:spacing w:after="0"/>
    </w:p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character" w:styleId="FollowedHyperlink">
    <w:name w:val="FollowedHyperlink"/>
    <w:rPr>
      <w:color w:val="800080"/>
      <w:u w:val="single"/>
    </w:r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Revision">
    <w:name w:val="Revision"/>
    <w:hidden/>
    <w:uiPriority w:val="99"/>
    <w:unhideWhenUsed/>
    <w:rsid w:val="00511857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7</TotalTime>
  <Pages>1</Pages>
  <Words>157</Words>
  <Characters>872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Xiaopeng</dc:creator>
  <cp:keywords/>
  <cp:lastModifiedBy>LAI, Xiaopeng</cp:lastModifiedBy>
  <cp:revision>2</cp:revision>
  <cp:lastPrinted>2022-03-20T13:18:00Z</cp:lastPrinted>
  <dcterms:created xsi:type="dcterms:W3CDTF">2023-04-11T03:37:00Z</dcterms:created>
  <dcterms:modified xsi:type="dcterms:W3CDTF">2023-04-11T03:37:00Z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